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8E3E0AE" w14:textId="77777777" w:rsidR="003F4480" w:rsidRDefault="00376F26" w:rsidP="00A52FEB">
      <w:pPr>
        <w:pStyle w:val="Ttulo2"/>
        <w:jc w:val="center"/>
        <w:rPr>
          <w:rFonts w:ascii="Arial" w:eastAsia="Arial" w:hAnsi="Arial" w:cs="Arial"/>
          <w:b/>
          <w:bCs/>
          <w:color w:val="000000"/>
          <w:sz w:val="22"/>
          <w:szCs w:val="22"/>
          <w:highlight w:val="white"/>
        </w:rPr>
      </w:pPr>
      <w:bookmarkStart w:id="0" w:name="_heading=h.63u9xzmkqzvs" w:colFirst="0" w:colLast="0"/>
      <w:bookmarkEnd w:id="0"/>
      <w:r>
        <w:rPr>
          <w:rFonts w:ascii="Arial" w:eastAsia="Arial" w:hAnsi="Arial" w:cs="Arial"/>
          <w:b/>
          <w:bCs/>
          <w:color w:val="000000"/>
          <w:sz w:val="22"/>
          <w:szCs w:val="22"/>
          <w:highlight w:val="white"/>
        </w:rPr>
        <w:t>LA DIRECCIÓN DE INVESTIGACIONES Y CONTROL DE VIVIENDA DE LA SUBSECRETARÍA DE INSPECCIÓN, VIGILANCIA Y CONTROL DE VIVIENDA DE LA SECRETARÍA DISTRITAL DEL HÁBITAT</w:t>
      </w:r>
    </w:p>
    <w:p w14:paraId="292F3719" w14:textId="77777777" w:rsidR="003F4480" w:rsidRDefault="003F4480">
      <w:pPr>
        <w:jc w:val="center"/>
        <w:rPr>
          <w:rFonts w:ascii="Arial" w:eastAsia="Arial" w:hAnsi="Arial" w:cs="Arial"/>
          <w:sz w:val="22"/>
          <w:szCs w:val="22"/>
          <w:highlight w:val="white"/>
        </w:rPr>
      </w:pPr>
      <w:bookmarkStart w:id="1" w:name="_heading=h.tziib8mju948" w:colFirst="0" w:colLast="0"/>
      <w:bookmarkEnd w:id="1"/>
    </w:p>
    <w:p w14:paraId="1361834A" w14:textId="77777777" w:rsidR="003F4480" w:rsidRDefault="00376F26">
      <w:pPr>
        <w:jc w:val="center"/>
        <w:rPr>
          <w:rFonts w:ascii="Arial" w:eastAsia="Arial" w:hAnsi="Arial" w:cs="Arial"/>
          <w:sz w:val="22"/>
          <w:szCs w:val="22"/>
          <w:highlight w:val="white"/>
        </w:rPr>
      </w:pPr>
      <w:r>
        <w:rPr>
          <w:rFonts w:ascii="Arial" w:eastAsia="Arial" w:hAnsi="Arial" w:cs="Arial"/>
          <w:sz w:val="22"/>
          <w:szCs w:val="22"/>
          <w:highlight w:val="white"/>
        </w:rPr>
        <w:t>En ejercicio de las atribuciones conferidas por la Ley 66 de 1968, los Decretos Ley 2610 de 1979, 078 de 1987, el Decreto Distrital 653 de 2025, los Acuerdos Distritales 079 de 2003 y 735 de 2019 y demás normas concordantes, y,</w:t>
      </w:r>
    </w:p>
    <w:p w14:paraId="1EF6731E" w14:textId="77777777" w:rsidR="003F4480" w:rsidRDefault="003F4480">
      <w:pPr>
        <w:jc w:val="center"/>
        <w:rPr>
          <w:rFonts w:ascii="Arial" w:eastAsia="Arial" w:hAnsi="Arial" w:cs="Arial"/>
          <w:sz w:val="22"/>
          <w:szCs w:val="22"/>
          <w:highlight w:val="white"/>
        </w:rPr>
      </w:pPr>
    </w:p>
    <w:p w14:paraId="6FAB1971" w14:textId="77777777" w:rsidR="003F4480" w:rsidRDefault="00376F26">
      <w:pPr>
        <w:jc w:val="center"/>
        <w:rPr>
          <w:rFonts w:ascii="Arial" w:eastAsia="Arial" w:hAnsi="Arial" w:cs="Arial"/>
          <w:b/>
          <w:bCs/>
          <w:sz w:val="22"/>
          <w:szCs w:val="22"/>
          <w:highlight w:val="white"/>
        </w:rPr>
      </w:pPr>
      <w:r>
        <w:rPr>
          <w:rFonts w:ascii="Arial" w:eastAsia="Arial" w:hAnsi="Arial" w:cs="Arial"/>
          <w:b/>
          <w:bCs/>
          <w:sz w:val="22"/>
          <w:szCs w:val="22"/>
          <w:highlight w:val="white"/>
        </w:rPr>
        <w:t>CONSIDERANDO:</w:t>
      </w:r>
    </w:p>
    <w:p w14:paraId="11FBF233" w14:textId="77777777" w:rsidR="003F4480" w:rsidRDefault="003F4480">
      <w:pPr>
        <w:jc w:val="both"/>
        <w:rPr>
          <w:rFonts w:ascii="Arial" w:eastAsia="Arial" w:hAnsi="Arial" w:cs="Arial"/>
          <w:sz w:val="22"/>
          <w:szCs w:val="22"/>
        </w:rPr>
      </w:pPr>
      <w:bookmarkStart w:id="2" w:name="_heading=h.vmq5jlsylcjh" w:colFirst="0" w:colLast="0"/>
      <w:bookmarkEnd w:id="2"/>
    </w:p>
    <w:p w14:paraId="0987429B" w14:textId="1E39F1F0" w:rsidR="003F4480" w:rsidRDefault="00376F26">
      <w:pPr>
        <w:widowControl w:val="0"/>
        <w:pBdr>
          <w:top w:val="nil"/>
          <w:left w:val="nil"/>
          <w:bottom w:val="nil"/>
          <w:right w:val="nil"/>
          <w:between w:val="nil"/>
        </w:pBdr>
        <w:jc w:val="both"/>
        <w:rPr>
          <w:rFonts w:ascii="Arial" w:eastAsia="Arial" w:hAnsi="Arial" w:cs="Arial"/>
          <w:sz w:val="22"/>
          <w:szCs w:val="22"/>
        </w:rPr>
      </w:pPr>
      <w:r>
        <w:rPr>
          <w:rFonts w:ascii="Arial" w:eastAsia="Arial" w:hAnsi="Arial" w:cs="Arial"/>
          <w:sz w:val="22"/>
          <w:szCs w:val="22"/>
        </w:rPr>
        <w:t xml:space="preserve">Que la Subdirección de Investigaciones y Control de Vivienda de la Subsecretaría de Inspección, Vigilancia y Control de Vivienda de la Secretaría Distrital del Hábitat, en virtud de su competencia y de conformidad con lo dispuesto por el parágrafo del artículo 1º del Decreto Distrital 572 de 2015, asumió la queja presentada por el señor EDWARD JAMES RICHARD HIROM, en calidad de propietario del apartamento 810 del EDIFICIO THINK APARTAMENTOS - PROPIEDAD HORIZONTAL ubicado en la Carrera 4 # 26 A - 42 de esta </w:t>
      </w:r>
      <w:r>
        <w:rPr>
          <w:rFonts w:ascii="Arial" w:eastAsia="Arial" w:hAnsi="Arial" w:cs="Arial"/>
          <w:sz w:val="22"/>
          <w:szCs w:val="22"/>
        </w:rPr>
        <w:t xml:space="preserve">ciudad, por las presuntas irregularidades existentes en las áreas privadas de la mencionada unidad de vivienda, en contra de la sociedad enajenadora </w:t>
      </w:r>
      <w:r w:rsidR="006D3182">
        <w:rPr>
          <w:rFonts w:ascii="Arial" w:eastAsia="Arial" w:hAnsi="Arial" w:cs="Arial"/>
          <w:sz w:val="22"/>
          <w:szCs w:val="22"/>
        </w:rPr>
        <w:t xml:space="preserve">CONINSA RAMON H. S.A., ahora </w:t>
      </w:r>
      <w:r>
        <w:rPr>
          <w:rFonts w:ascii="Arial" w:eastAsia="Arial" w:hAnsi="Arial" w:cs="Arial"/>
          <w:sz w:val="22"/>
          <w:szCs w:val="22"/>
        </w:rPr>
        <w:t>CONINSA S.A.S., identificada con NIT. 890.911.431-1, representada legalmente por la señora ALEJANDRA ZAPATA CASTAÑO (o quien haga sus veces); actuación a la que le correspondió el radicado No. 1-2021-26240-1.</w:t>
      </w:r>
    </w:p>
    <w:p w14:paraId="2512F101" w14:textId="77777777" w:rsidR="003F4480" w:rsidRDefault="003F4480">
      <w:pPr>
        <w:widowControl w:val="0"/>
        <w:pBdr>
          <w:top w:val="nil"/>
          <w:left w:val="nil"/>
          <w:bottom w:val="nil"/>
          <w:right w:val="nil"/>
          <w:between w:val="nil"/>
        </w:pBdr>
        <w:jc w:val="both"/>
        <w:rPr>
          <w:rFonts w:ascii="Arial" w:eastAsia="Arial" w:hAnsi="Arial" w:cs="Arial"/>
          <w:sz w:val="22"/>
          <w:szCs w:val="22"/>
        </w:rPr>
      </w:pPr>
    </w:p>
    <w:p w14:paraId="62B46BC8" w14:textId="77777777" w:rsidR="003F4480" w:rsidRDefault="00376F26">
      <w:pPr>
        <w:widowControl w:val="0"/>
        <w:pBdr>
          <w:top w:val="nil"/>
          <w:left w:val="nil"/>
          <w:bottom w:val="nil"/>
          <w:right w:val="nil"/>
          <w:between w:val="nil"/>
        </w:pBdr>
        <w:jc w:val="both"/>
        <w:rPr>
          <w:rFonts w:ascii="Arial" w:eastAsia="Arial" w:hAnsi="Arial" w:cs="Arial"/>
          <w:sz w:val="22"/>
          <w:szCs w:val="22"/>
        </w:rPr>
      </w:pPr>
      <w:r>
        <w:rPr>
          <w:rFonts w:ascii="Arial" w:eastAsia="Arial" w:hAnsi="Arial" w:cs="Arial"/>
          <w:sz w:val="22"/>
          <w:szCs w:val="22"/>
        </w:rPr>
        <w:t>Que, una vez surtidas las actuaciones procesales pertinentes, esta Dirección, mediante Resolución No. 3099 del 20 de diciembre de 2022, "</w:t>
      </w:r>
      <w:r>
        <w:rPr>
          <w:rFonts w:ascii="Arial" w:eastAsia="Arial" w:hAnsi="Arial" w:cs="Arial"/>
          <w:i/>
          <w:iCs/>
          <w:sz w:val="22"/>
          <w:szCs w:val="22"/>
        </w:rPr>
        <w:t>Por la cual se impone una sanción y se imparte una orden</w:t>
      </w:r>
      <w:r>
        <w:rPr>
          <w:rFonts w:ascii="Arial" w:eastAsia="Arial" w:hAnsi="Arial" w:cs="Arial"/>
          <w:sz w:val="22"/>
          <w:szCs w:val="22"/>
        </w:rPr>
        <w:t>", multó a la sociedad enajenadora CONINSA S.A.S., identificada con NIT. 890.911.431-1, representada legalmente por la señora ALEJANDRA ZAPATA CASTAÑO (o quien haga sus veces); por valor de DIEZ MIL PESOS ($10.000) M/CTE, que indexados corresponden a la suma de UN MILLÓN SETECIENTOS NOVENTA MIL PESOS ($1.790.000) M/CTE.</w:t>
      </w:r>
    </w:p>
    <w:p w14:paraId="3E97CF3E" w14:textId="77777777" w:rsidR="003F4480" w:rsidRDefault="003F4480">
      <w:pPr>
        <w:widowControl w:val="0"/>
        <w:pBdr>
          <w:top w:val="nil"/>
          <w:left w:val="nil"/>
          <w:bottom w:val="nil"/>
          <w:right w:val="nil"/>
          <w:between w:val="nil"/>
        </w:pBdr>
        <w:jc w:val="both"/>
        <w:rPr>
          <w:rFonts w:ascii="Arial" w:eastAsia="Arial" w:hAnsi="Arial" w:cs="Arial"/>
          <w:sz w:val="22"/>
          <w:szCs w:val="22"/>
        </w:rPr>
      </w:pPr>
    </w:p>
    <w:p w14:paraId="60F65377" w14:textId="77777777" w:rsidR="003F4480" w:rsidRDefault="00376F26">
      <w:pPr>
        <w:widowControl w:val="0"/>
        <w:pBdr>
          <w:top w:val="nil"/>
          <w:left w:val="nil"/>
          <w:bottom w:val="nil"/>
          <w:right w:val="nil"/>
          <w:between w:val="nil"/>
        </w:pBdr>
        <w:jc w:val="both"/>
        <w:rPr>
          <w:rFonts w:ascii="Arial" w:eastAsia="Arial" w:hAnsi="Arial" w:cs="Arial"/>
          <w:sz w:val="22"/>
          <w:szCs w:val="22"/>
        </w:rPr>
      </w:pPr>
      <w:bookmarkStart w:id="3" w:name="_heading=h.4m4q6b1tjgvg" w:colFirst="0" w:colLast="0"/>
      <w:bookmarkEnd w:id="3"/>
      <w:r>
        <w:rPr>
          <w:rFonts w:ascii="Arial" w:eastAsia="Arial" w:hAnsi="Arial" w:cs="Arial"/>
          <w:sz w:val="22"/>
          <w:szCs w:val="22"/>
        </w:rPr>
        <w:t>Que, en los artículos segundo, tercero y cuarto de la Resolución No. 3099 del 20 de diciembre de 2022, "</w:t>
      </w:r>
      <w:r>
        <w:rPr>
          <w:rFonts w:ascii="Arial" w:eastAsia="Arial" w:hAnsi="Arial" w:cs="Arial"/>
          <w:i/>
          <w:iCs/>
          <w:sz w:val="22"/>
          <w:szCs w:val="22"/>
        </w:rPr>
        <w:t>Por la cual se impone una sanción y se imparte una orden</w:t>
      </w:r>
      <w:r>
        <w:rPr>
          <w:rFonts w:ascii="Arial" w:eastAsia="Arial" w:hAnsi="Arial" w:cs="Arial"/>
          <w:sz w:val="22"/>
          <w:szCs w:val="22"/>
        </w:rPr>
        <w:t xml:space="preserve">", se estableció: </w:t>
      </w:r>
    </w:p>
    <w:p w14:paraId="64ECE32E" w14:textId="77777777" w:rsidR="003F4480" w:rsidRDefault="003F4480">
      <w:pPr>
        <w:widowControl w:val="0"/>
        <w:pBdr>
          <w:top w:val="nil"/>
          <w:left w:val="nil"/>
          <w:bottom w:val="nil"/>
          <w:right w:val="nil"/>
          <w:between w:val="nil"/>
        </w:pBdr>
        <w:jc w:val="both"/>
        <w:rPr>
          <w:rFonts w:ascii="Arial" w:eastAsia="Arial" w:hAnsi="Arial" w:cs="Arial"/>
          <w:i/>
          <w:iCs/>
          <w:sz w:val="22"/>
          <w:szCs w:val="22"/>
        </w:rPr>
      </w:pPr>
      <w:bookmarkStart w:id="4" w:name="_heading=h.wnglmm1kxwlr" w:colFirst="0" w:colLast="0"/>
      <w:bookmarkEnd w:id="4"/>
    </w:p>
    <w:p w14:paraId="600C4D6F" w14:textId="2ABA5D7B" w:rsidR="003F4480" w:rsidRDefault="00376F26" w:rsidP="0067731A">
      <w:pPr>
        <w:spacing w:line="276" w:lineRule="auto"/>
        <w:ind w:left="720"/>
        <w:jc w:val="both"/>
        <w:rPr>
          <w:rFonts w:ascii="Arial" w:eastAsia="Arial" w:hAnsi="Arial" w:cs="Arial"/>
          <w:i/>
          <w:iCs/>
          <w:sz w:val="22"/>
          <w:szCs w:val="22"/>
        </w:rPr>
      </w:pPr>
      <w:r>
        <w:rPr>
          <w:rFonts w:ascii="Arial" w:eastAsia="Arial" w:hAnsi="Arial" w:cs="Arial"/>
          <w:b/>
          <w:bCs/>
          <w:i/>
          <w:iCs/>
          <w:sz w:val="22"/>
          <w:szCs w:val="22"/>
        </w:rPr>
        <w:t>ARTÍCULO SEGUNDO</w:t>
      </w:r>
      <w:r>
        <w:rPr>
          <w:rFonts w:ascii="Arial" w:eastAsia="Arial" w:hAnsi="Arial" w:cs="Arial"/>
          <w:i/>
          <w:iCs/>
          <w:sz w:val="22"/>
          <w:szCs w:val="22"/>
        </w:rPr>
        <w:t>: Requerir a la sociedad enajenadora CONINSA RAMON H. S.A., identificada con NIT. 890.911.431-1, representada legalmente por el señor JUAN FELIPE HOYOS MEJIA (o quien haga sus veces), para que dentro del término de SEIS</w:t>
      </w:r>
      <w:r w:rsidR="0067731A">
        <w:rPr>
          <w:rFonts w:ascii="Arial" w:eastAsia="Arial" w:hAnsi="Arial" w:cs="Arial"/>
          <w:i/>
          <w:iCs/>
          <w:sz w:val="22"/>
          <w:szCs w:val="22"/>
        </w:rPr>
        <w:t xml:space="preserve"> </w:t>
      </w:r>
      <w:r>
        <w:rPr>
          <w:rFonts w:ascii="Arial" w:eastAsia="Arial" w:hAnsi="Arial" w:cs="Arial"/>
          <w:i/>
          <w:iCs/>
          <w:sz w:val="22"/>
          <w:szCs w:val="22"/>
        </w:rPr>
        <w:t>(6) MESES (calendario) siguientes a la ejecutoria del presente acto administrativo se acoja a la normatividad infringida, para lo cual deberá solucionar en forma definitiva el hallazgo</w:t>
      </w:r>
      <w:r w:rsidR="0067731A">
        <w:rPr>
          <w:rFonts w:ascii="Arial" w:eastAsia="Arial" w:hAnsi="Arial" w:cs="Arial"/>
          <w:i/>
          <w:iCs/>
          <w:sz w:val="22"/>
          <w:szCs w:val="22"/>
        </w:rPr>
        <w:t xml:space="preserve"> </w:t>
      </w:r>
      <w:r>
        <w:rPr>
          <w:rFonts w:ascii="Arial" w:eastAsia="Arial" w:hAnsi="Arial" w:cs="Arial"/>
          <w:i/>
          <w:iCs/>
          <w:sz w:val="22"/>
          <w:szCs w:val="22"/>
        </w:rPr>
        <w:t>"1. PLACA DE ENTRE PISO CON FILTRACION", que se ha venido presentando en el apartamento 810 del proyecto de</w:t>
      </w:r>
      <w:r>
        <w:rPr>
          <w:rFonts w:ascii="Arial" w:eastAsia="Arial" w:hAnsi="Arial" w:cs="Arial"/>
          <w:i/>
          <w:iCs/>
          <w:sz w:val="22"/>
          <w:szCs w:val="22"/>
        </w:rPr>
        <w:t xml:space="preserve"> vivienda EDIFICIO THINK APARTAMENTOS - PROPIEDAD HORIZONTAL, ya que dicha afectación </w:t>
      </w:r>
      <w:r>
        <w:rPr>
          <w:rFonts w:ascii="Arial" w:eastAsia="Arial" w:hAnsi="Arial" w:cs="Arial"/>
          <w:i/>
          <w:iCs/>
          <w:sz w:val="22"/>
          <w:szCs w:val="22"/>
        </w:rPr>
        <w:lastRenderedPageBreak/>
        <w:t>constituye deficiencia constructiva de carácter LEVE, conforme se evidencia en el Informe de Verificación de Hechos Nro. 21-473 del 24 de septiembre, 21-690 del 14 de diciembre de 2021 y el concepto técnico Nro. 22-117 del 14 de marzo de 2022; lo anterior en el evento de que dicho hecho no haya sido intervenido al momento de la expedición de la presente Resolución.</w:t>
      </w:r>
    </w:p>
    <w:p w14:paraId="53038AF7" w14:textId="77777777" w:rsidR="003F4480" w:rsidRDefault="003F4480" w:rsidP="0067731A">
      <w:pPr>
        <w:spacing w:line="276" w:lineRule="auto"/>
        <w:ind w:left="720"/>
        <w:jc w:val="both"/>
        <w:rPr>
          <w:rFonts w:ascii="Arial" w:eastAsia="Arial" w:hAnsi="Arial" w:cs="Arial"/>
          <w:i/>
          <w:iCs/>
          <w:sz w:val="22"/>
          <w:szCs w:val="22"/>
        </w:rPr>
      </w:pPr>
    </w:p>
    <w:p w14:paraId="49F7184C" w14:textId="77777777" w:rsidR="003F4480" w:rsidRDefault="00376F26" w:rsidP="0067731A">
      <w:pPr>
        <w:spacing w:line="276" w:lineRule="auto"/>
        <w:ind w:left="720"/>
        <w:jc w:val="both"/>
        <w:rPr>
          <w:rFonts w:ascii="Arial" w:eastAsia="Arial" w:hAnsi="Arial" w:cs="Arial"/>
          <w:i/>
          <w:iCs/>
          <w:sz w:val="22"/>
          <w:szCs w:val="22"/>
        </w:rPr>
      </w:pPr>
      <w:r>
        <w:rPr>
          <w:rFonts w:ascii="Arial" w:eastAsia="Arial" w:hAnsi="Arial" w:cs="Arial"/>
          <w:b/>
          <w:bCs/>
          <w:i/>
          <w:iCs/>
          <w:sz w:val="22"/>
          <w:szCs w:val="22"/>
        </w:rPr>
        <w:t>ARTÍCULO TERCERO</w:t>
      </w:r>
      <w:r>
        <w:rPr>
          <w:rFonts w:ascii="Arial" w:eastAsia="Arial" w:hAnsi="Arial" w:cs="Arial"/>
          <w:i/>
          <w:iCs/>
          <w:sz w:val="22"/>
          <w:szCs w:val="22"/>
        </w:rPr>
        <w:t>: Ordenar a la sociedad enajenadora CONINSA RAMON H.</w:t>
      </w:r>
    </w:p>
    <w:p w14:paraId="276BEB09" w14:textId="77777777" w:rsidR="003F4480" w:rsidRDefault="00376F26" w:rsidP="0067731A">
      <w:pPr>
        <w:spacing w:line="276" w:lineRule="auto"/>
        <w:ind w:left="720"/>
        <w:jc w:val="both"/>
        <w:rPr>
          <w:rFonts w:ascii="Arial" w:eastAsia="Arial" w:hAnsi="Arial" w:cs="Arial"/>
          <w:i/>
          <w:iCs/>
          <w:sz w:val="22"/>
          <w:szCs w:val="22"/>
        </w:rPr>
      </w:pPr>
      <w:r>
        <w:rPr>
          <w:rFonts w:ascii="Arial" w:eastAsia="Arial" w:hAnsi="Arial" w:cs="Arial"/>
          <w:i/>
          <w:iCs/>
          <w:sz w:val="22"/>
          <w:szCs w:val="22"/>
        </w:rPr>
        <w:t>S.A., identificada con NIT. 890.911.431-1, representada legalmente por el señor JUAN FELIPE HOYOS MEJA (o quien haga sus veces), para que dentro de los diez (10) días (</w:t>
      </w:r>
      <w:proofErr w:type="spellStart"/>
      <w:r>
        <w:rPr>
          <w:rFonts w:ascii="Arial" w:eastAsia="Arial" w:hAnsi="Arial" w:cs="Arial"/>
          <w:i/>
          <w:iCs/>
          <w:sz w:val="22"/>
          <w:szCs w:val="22"/>
        </w:rPr>
        <w:t>habiles</w:t>
      </w:r>
      <w:proofErr w:type="spellEnd"/>
      <w:r>
        <w:rPr>
          <w:rFonts w:ascii="Arial" w:eastAsia="Arial" w:hAnsi="Arial" w:cs="Arial"/>
          <w:i/>
          <w:iCs/>
          <w:sz w:val="22"/>
          <w:szCs w:val="22"/>
        </w:rPr>
        <w:t>) siguientes al cumplimiento del término otorgado en el artículo anterior, acredite ante este Despacho la realización de las labores de corrección sobre el citado hecho.</w:t>
      </w:r>
    </w:p>
    <w:p w14:paraId="7224806C" w14:textId="77777777" w:rsidR="003F4480" w:rsidRDefault="003F4480" w:rsidP="0067731A">
      <w:pPr>
        <w:spacing w:line="276" w:lineRule="auto"/>
        <w:ind w:left="720"/>
        <w:jc w:val="both"/>
        <w:rPr>
          <w:rFonts w:ascii="Arial" w:eastAsia="Arial" w:hAnsi="Arial" w:cs="Arial"/>
          <w:i/>
          <w:iCs/>
          <w:sz w:val="22"/>
          <w:szCs w:val="22"/>
        </w:rPr>
      </w:pPr>
    </w:p>
    <w:p w14:paraId="7D5FAC5C" w14:textId="77777777" w:rsidR="003F4480" w:rsidRDefault="00376F26" w:rsidP="0067731A">
      <w:pPr>
        <w:spacing w:line="276" w:lineRule="auto"/>
        <w:ind w:left="720"/>
        <w:jc w:val="both"/>
        <w:rPr>
          <w:rFonts w:ascii="Arial" w:eastAsia="Arial" w:hAnsi="Arial" w:cs="Arial"/>
          <w:i/>
          <w:iCs/>
          <w:sz w:val="22"/>
          <w:szCs w:val="22"/>
        </w:rPr>
      </w:pPr>
      <w:r>
        <w:rPr>
          <w:rFonts w:ascii="Arial" w:eastAsia="Arial" w:hAnsi="Arial" w:cs="Arial"/>
          <w:b/>
          <w:bCs/>
          <w:i/>
          <w:iCs/>
          <w:sz w:val="22"/>
          <w:szCs w:val="22"/>
        </w:rPr>
        <w:t>ARTÍCULO CUARTO</w:t>
      </w:r>
      <w:r>
        <w:rPr>
          <w:rFonts w:ascii="Arial" w:eastAsia="Arial" w:hAnsi="Arial" w:cs="Arial"/>
          <w:i/>
          <w:iCs/>
          <w:sz w:val="22"/>
          <w:szCs w:val="22"/>
        </w:rPr>
        <w:t>: El incumplimiento al requerimiento formulado en el artículo segundo, salvo que el quejoso o interesados impidan la realización de las obras ordenadas, situación que deberá poner en conocimiento inmediato a la Subdirección de Investigaciones y Control de Vivienda, dará lugar a la imposición de sanción, consistente en multa de entre $10.000 a $500.000 pesos, que serán indexados en el tiempo en que se verifique el incumplimiento, por cada seis (6) meses (calendario) de retardo al vencimiento de la fecha esta</w:t>
      </w:r>
      <w:r>
        <w:rPr>
          <w:rFonts w:ascii="Arial" w:eastAsia="Arial" w:hAnsi="Arial" w:cs="Arial"/>
          <w:i/>
          <w:iCs/>
          <w:sz w:val="22"/>
          <w:szCs w:val="22"/>
        </w:rPr>
        <w:t>blecida para el efecto, de conformidad con lo dispuesto en el inciso segundo numeral 9 del artículo 2° del Decreto Ley 078 de 1987.</w:t>
      </w:r>
    </w:p>
    <w:p w14:paraId="5A6452CF" w14:textId="77777777" w:rsidR="003F4480" w:rsidRDefault="003F4480">
      <w:pPr>
        <w:spacing w:line="276" w:lineRule="auto"/>
        <w:jc w:val="both"/>
        <w:rPr>
          <w:rFonts w:ascii="Arial" w:eastAsia="Arial" w:hAnsi="Arial" w:cs="Arial"/>
          <w:sz w:val="22"/>
          <w:szCs w:val="22"/>
        </w:rPr>
      </w:pPr>
    </w:p>
    <w:p w14:paraId="55C9C61C" w14:textId="77777777" w:rsidR="003F4480" w:rsidRDefault="00376F26">
      <w:pPr>
        <w:spacing w:line="276" w:lineRule="auto"/>
        <w:jc w:val="both"/>
        <w:rPr>
          <w:rFonts w:ascii="Arial" w:eastAsia="Arial" w:hAnsi="Arial" w:cs="Arial"/>
          <w:sz w:val="22"/>
          <w:szCs w:val="22"/>
        </w:rPr>
      </w:pPr>
      <w:r>
        <w:rPr>
          <w:rFonts w:ascii="Arial" w:eastAsia="Arial" w:hAnsi="Arial" w:cs="Arial"/>
          <w:sz w:val="22"/>
          <w:szCs w:val="22"/>
        </w:rPr>
        <w:t xml:space="preserve">Que, a través de radicado 1-2023-4224 y 1-2023-11079 la sociedad enajenadora interpuso recurso de reposición y en subsidio apelación contra la Resolución No. 3099 del 20 de diciembre de 2022. </w:t>
      </w:r>
    </w:p>
    <w:p w14:paraId="38C20421" w14:textId="77777777" w:rsidR="003F4480" w:rsidRDefault="003F4480">
      <w:pPr>
        <w:spacing w:line="276" w:lineRule="auto"/>
        <w:jc w:val="both"/>
        <w:rPr>
          <w:rFonts w:ascii="Arial" w:eastAsia="Arial" w:hAnsi="Arial" w:cs="Arial"/>
          <w:sz w:val="22"/>
          <w:szCs w:val="22"/>
        </w:rPr>
      </w:pPr>
    </w:p>
    <w:p w14:paraId="6F00C108" w14:textId="5BEC01CC" w:rsidR="003F4480" w:rsidRDefault="00376F26">
      <w:pPr>
        <w:spacing w:line="276" w:lineRule="auto"/>
        <w:jc w:val="both"/>
        <w:rPr>
          <w:rFonts w:ascii="Arial" w:eastAsia="Arial" w:hAnsi="Arial" w:cs="Arial"/>
          <w:sz w:val="22"/>
          <w:szCs w:val="22"/>
        </w:rPr>
      </w:pPr>
      <w:r>
        <w:rPr>
          <w:rFonts w:ascii="Arial" w:eastAsia="Arial" w:hAnsi="Arial" w:cs="Arial"/>
          <w:sz w:val="22"/>
          <w:szCs w:val="22"/>
        </w:rPr>
        <w:t xml:space="preserve">Que, a través de Resolución No. 1215 del 01 de agosto de 2023 se resuelve recurso de </w:t>
      </w:r>
      <w:r w:rsidR="0067731A">
        <w:rPr>
          <w:rFonts w:ascii="Arial" w:eastAsia="Arial" w:hAnsi="Arial" w:cs="Arial"/>
          <w:sz w:val="22"/>
          <w:szCs w:val="22"/>
        </w:rPr>
        <w:t>reposición</w:t>
      </w:r>
      <w:r>
        <w:rPr>
          <w:rFonts w:ascii="Arial" w:eastAsia="Arial" w:hAnsi="Arial" w:cs="Arial"/>
          <w:sz w:val="22"/>
          <w:szCs w:val="22"/>
        </w:rPr>
        <w:t xml:space="preserve"> decidiendo no reponer y concediendo el recurso de apelación. Así mismo la Resolución No. 3091 del 20 de diciembre de 2023 resuelve recurso de apelación decidiendo confirmar en todas sus partes la Resolución No. 3099 del 20 de diciembre de 2022.</w:t>
      </w:r>
      <w:r w:rsidR="0067731A">
        <w:rPr>
          <w:rFonts w:ascii="Arial" w:eastAsia="Arial" w:hAnsi="Arial" w:cs="Arial"/>
          <w:sz w:val="22"/>
          <w:szCs w:val="22"/>
        </w:rPr>
        <w:t xml:space="preserve"> </w:t>
      </w:r>
      <w:r>
        <w:rPr>
          <w:rFonts w:ascii="Arial" w:eastAsia="Arial" w:hAnsi="Arial" w:cs="Arial"/>
          <w:sz w:val="22"/>
          <w:szCs w:val="22"/>
        </w:rPr>
        <w:t>De esta forma, el seis (06) de febrero de 2024 quedó debidamente ejecutoriada la Resolución No.3099 del 20 de diciembre de 2022.</w:t>
      </w:r>
    </w:p>
    <w:p w14:paraId="0AFA32F7" w14:textId="77777777" w:rsidR="003F4480" w:rsidRDefault="003F4480">
      <w:pPr>
        <w:spacing w:line="276" w:lineRule="auto"/>
        <w:jc w:val="both"/>
        <w:rPr>
          <w:rFonts w:ascii="Arial" w:eastAsia="Arial" w:hAnsi="Arial" w:cs="Arial"/>
          <w:sz w:val="22"/>
          <w:szCs w:val="22"/>
        </w:rPr>
      </w:pPr>
    </w:p>
    <w:p w14:paraId="4C51A10D" w14:textId="66E890CA" w:rsidR="003F4480" w:rsidRDefault="00376F26">
      <w:pPr>
        <w:spacing w:line="276" w:lineRule="auto"/>
        <w:jc w:val="both"/>
        <w:rPr>
          <w:rFonts w:ascii="Arial" w:eastAsia="Arial" w:hAnsi="Arial" w:cs="Arial"/>
          <w:sz w:val="22"/>
          <w:szCs w:val="22"/>
        </w:rPr>
      </w:pPr>
      <w:r>
        <w:rPr>
          <w:rFonts w:ascii="Arial" w:eastAsia="Arial" w:hAnsi="Arial" w:cs="Arial"/>
          <w:sz w:val="22"/>
          <w:szCs w:val="22"/>
        </w:rPr>
        <w:t xml:space="preserve">Que, a través de radicado 1-2024-43668 del 03 de diciembre de 2024 la sociedad enajenadora allegó al despacho respuesta del requerimiento de </w:t>
      </w:r>
      <w:r w:rsidR="0067731A">
        <w:rPr>
          <w:rFonts w:ascii="Arial" w:eastAsia="Arial" w:hAnsi="Arial" w:cs="Arial"/>
          <w:sz w:val="22"/>
          <w:szCs w:val="22"/>
        </w:rPr>
        <w:t>acreditación</w:t>
      </w:r>
      <w:r>
        <w:rPr>
          <w:rFonts w:ascii="Arial" w:eastAsia="Arial" w:hAnsi="Arial" w:cs="Arial"/>
          <w:sz w:val="22"/>
          <w:szCs w:val="22"/>
        </w:rPr>
        <w:t xml:space="preserve"> con la imposición de una </w:t>
      </w:r>
      <w:r w:rsidR="0067731A">
        <w:rPr>
          <w:rFonts w:ascii="Arial" w:eastAsia="Arial" w:hAnsi="Arial" w:cs="Arial"/>
          <w:sz w:val="22"/>
          <w:szCs w:val="22"/>
        </w:rPr>
        <w:t>acción</w:t>
      </w:r>
      <w:r>
        <w:rPr>
          <w:rFonts w:ascii="Arial" w:eastAsia="Arial" w:hAnsi="Arial" w:cs="Arial"/>
          <w:sz w:val="22"/>
          <w:szCs w:val="22"/>
        </w:rPr>
        <w:t xml:space="preserve"> de tutela por </w:t>
      </w:r>
      <w:r w:rsidR="0067731A">
        <w:rPr>
          <w:rFonts w:ascii="Arial" w:eastAsia="Arial" w:hAnsi="Arial" w:cs="Arial"/>
          <w:sz w:val="22"/>
          <w:szCs w:val="22"/>
        </w:rPr>
        <w:t>vulneración</w:t>
      </w:r>
      <w:r>
        <w:rPr>
          <w:rFonts w:ascii="Arial" w:eastAsia="Arial" w:hAnsi="Arial" w:cs="Arial"/>
          <w:sz w:val="22"/>
          <w:szCs w:val="22"/>
        </w:rPr>
        <w:t xml:space="preserve"> de derecho fundamental de </w:t>
      </w:r>
      <w:r w:rsidR="0067731A">
        <w:rPr>
          <w:rFonts w:ascii="Arial" w:eastAsia="Arial" w:hAnsi="Arial" w:cs="Arial"/>
          <w:sz w:val="22"/>
          <w:szCs w:val="22"/>
        </w:rPr>
        <w:t>petición</w:t>
      </w:r>
      <w:r>
        <w:rPr>
          <w:rFonts w:ascii="Arial" w:eastAsia="Arial" w:hAnsi="Arial" w:cs="Arial"/>
          <w:sz w:val="22"/>
          <w:szCs w:val="22"/>
        </w:rPr>
        <w:t xml:space="preserve"> contra el quejoso. </w:t>
      </w:r>
    </w:p>
    <w:p w14:paraId="729C576C" w14:textId="77777777" w:rsidR="003F4480" w:rsidRDefault="003F4480">
      <w:pPr>
        <w:spacing w:line="276" w:lineRule="auto"/>
        <w:jc w:val="both"/>
        <w:rPr>
          <w:rFonts w:ascii="Arial" w:eastAsia="Arial" w:hAnsi="Arial" w:cs="Arial"/>
          <w:sz w:val="22"/>
          <w:szCs w:val="22"/>
        </w:rPr>
      </w:pPr>
    </w:p>
    <w:p w14:paraId="73FECE50" w14:textId="50B5E007" w:rsidR="0067731A" w:rsidRDefault="0067731A" w:rsidP="0067731A">
      <w:pPr>
        <w:spacing w:line="276" w:lineRule="auto"/>
        <w:jc w:val="both"/>
        <w:rPr>
          <w:rFonts w:ascii="Arial" w:eastAsia="Arial" w:hAnsi="Arial" w:cs="Arial"/>
          <w:sz w:val="22"/>
          <w:szCs w:val="22"/>
        </w:rPr>
      </w:pPr>
      <w:r>
        <w:rPr>
          <w:rFonts w:ascii="Arial" w:eastAsia="Arial" w:hAnsi="Arial" w:cs="Arial"/>
          <w:sz w:val="22"/>
          <w:szCs w:val="22"/>
        </w:rPr>
        <w:lastRenderedPageBreak/>
        <w:t xml:space="preserve">Que, a través de radicados 2-2024-60661 y 2-2024-60662 del 26 de diciembre de 2024, este despacho requiere a las partes e intervinientes para la acreditación de los hechos ordenados en la Resolución No. 3099 del 20 de diciembre de 2022. </w:t>
      </w:r>
    </w:p>
    <w:p w14:paraId="6BAA013F" w14:textId="77777777" w:rsidR="0067731A" w:rsidRDefault="0067731A">
      <w:pPr>
        <w:spacing w:line="276" w:lineRule="auto"/>
        <w:jc w:val="both"/>
        <w:rPr>
          <w:rFonts w:ascii="Arial" w:eastAsia="Arial" w:hAnsi="Arial" w:cs="Arial"/>
          <w:sz w:val="22"/>
          <w:szCs w:val="22"/>
        </w:rPr>
      </w:pPr>
    </w:p>
    <w:p w14:paraId="72D2BE85" w14:textId="40150E95" w:rsidR="003F4480" w:rsidRDefault="00376F26">
      <w:pPr>
        <w:spacing w:line="276" w:lineRule="auto"/>
        <w:jc w:val="both"/>
        <w:rPr>
          <w:rFonts w:ascii="Arial" w:eastAsia="Arial" w:hAnsi="Arial" w:cs="Arial"/>
          <w:sz w:val="22"/>
          <w:szCs w:val="22"/>
        </w:rPr>
      </w:pPr>
      <w:r>
        <w:rPr>
          <w:rFonts w:ascii="Arial" w:eastAsia="Arial" w:hAnsi="Arial" w:cs="Arial"/>
          <w:sz w:val="22"/>
          <w:szCs w:val="22"/>
        </w:rPr>
        <w:t xml:space="preserve">Que, </w:t>
      </w:r>
      <w:r w:rsidR="00C2204F">
        <w:rPr>
          <w:rFonts w:ascii="Arial" w:eastAsia="Arial" w:hAnsi="Arial" w:cs="Arial"/>
          <w:sz w:val="22"/>
          <w:szCs w:val="22"/>
        </w:rPr>
        <w:t>mediante el</w:t>
      </w:r>
      <w:r>
        <w:rPr>
          <w:rFonts w:ascii="Arial" w:eastAsia="Arial" w:hAnsi="Arial" w:cs="Arial"/>
          <w:sz w:val="22"/>
          <w:szCs w:val="22"/>
        </w:rPr>
        <w:t xml:space="preserve"> radicado 2-2025-916 del 10 de enero de 2025 este despacho da traslado de quince (15) días a la parte quejosa para que se pronuncie frente a la acreditación alegada por parte de la sociedad enajenada. </w:t>
      </w:r>
    </w:p>
    <w:p w14:paraId="19E3F0ED" w14:textId="77777777" w:rsidR="003F4480" w:rsidRDefault="003F4480">
      <w:pPr>
        <w:spacing w:line="276" w:lineRule="auto"/>
        <w:jc w:val="both"/>
        <w:rPr>
          <w:rFonts w:ascii="Arial" w:eastAsia="Arial" w:hAnsi="Arial" w:cs="Arial"/>
          <w:sz w:val="22"/>
          <w:szCs w:val="22"/>
        </w:rPr>
      </w:pPr>
    </w:p>
    <w:p w14:paraId="589E6A45" w14:textId="6F9552BB" w:rsidR="003F4480" w:rsidRDefault="00376F26">
      <w:pPr>
        <w:spacing w:line="276" w:lineRule="auto"/>
        <w:jc w:val="both"/>
        <w:rPr>
          <w:rFonts w:ascii="Arial" w:eastAsia="Arial" w:hAnsi="Arial" w:cs="Arial"/>
          <w:sz w:val="22"/>
          <w:szCs w:val="22"/>
        </w:rPr>
      </w:pPr>
      <w:r>
        <w:rPr>
          <w:rFonts w:ascii="Arial" w:eastAsia="Arial" w:hAnsi="Arial" w:cs="Arial"/>
          <w:sz w:val="22"/>
          <w:szCs w:val="22"/>
        </w:rPr>
        <w:t xml:space="preserve">Que, </w:t>
      </w:r>
      <w:r w:rsidR="00C2204F">
        <w:rPr>
          <w:rFonts w:ascii="Arial" w:eastAsia="Arial" w:hAnsi="Arial" w:cs="Arial"/>
          <w:sz w:val="22"/>
          <w:szCs w:val="22"/>
        </w:rPr>
        <w:t xml:space="preserve">en cumplimiento de las funciones de seguimiento, este Despacho </w:t>
      </w:r>
      <w:r>
        <w:rPr>
          <w:rFonts w:ascii="Arial" w:eastAsia="Arial" w:hAnsi="Arial" w:cs="Arial"/>
          <w:sz w:val="22"/>
          <w:szCs w:val="22"/>
        </w:rPr>
        <w:t>a través de radicado 2-2025-24230 y 2-2025-24231 del 15 de mayo de 2025 este despacho comunica a las partes de la visita de carácter técnico que se llevará a cabo el 30 de mayo de 2025</w:t>
      </w:r>
      <w:r w:rsidR="00C2204F">
        <w:rPr>
          <w:rFonts w:ascii="Arial" w:eastAsia="Arial" w:hAnsi="Arial" w:cs="Arial"/>
          <w:sz w:val="22"/>
          <w:szCs w:val="22"/>
        </w:rPr>
        <w:t>, al inmueble objeto de la queja.</w:t>
      </w:r>
    </w:p>
    <w:p w14:paraId="505FBF6B" w14:textId="77777777" w:rsidR="003F4480" w:rsidRDefault="003F4480">
      <w:pPr>
        <w:spacing w:line="276" w:lineRule="auto"/>
        <w:jc w:val="both"/>
        <w:rPr>
          <w:rFonts w:ascii="Arial" w:eastAsia="Arial" w:hAnsi="Arial" w:cs="Arial"/>
          <w:sz w:val="22"/>
          <w:szCs w:val="22"/>
        </w:rPr>
      </w:pPr>
    </w:p>
    <w:p w14:paraId="043F4A5C" w14:textId="5A9AE358" w:rsidR="003F4480" w:rsidRDefault="00376F26">
      <w:pPr>
        <w:spacing w:line="276" w:lineRule="auto"/>
        <w:jc w:val="both"/>
        <w:rPr>
          <w:rFonts w:ascii="Arial" w:eastAsia="Arial" w:hAnsi="Arial" w:cs="Arial"/>
          <w:sz w:val="22"/>
          <w:szCs w:val="22"/>
        </w:rPr>
      </w:pPr>
      <w:r>
        <w:rPr>
          <w:rFonts w:ascii="Arial" w:eastAsia="Arial" w:hAnsi="Arial" w:cs="Arial"/>
          <w:sz w:val="22"/>
          <w:szCs w:val="22"/>
        </w:rPr>
        <w:t>Que, a través de radicado</w:t>
      </w:r>
      <w:r w:rsidR="00C2204F">
        <w:rPr>
          <w:rFonts w:ascii="Arial" w:eastAsia="Arial" w:hAnsi="Arial" w:cs="Arial"/>
          <w:sz w:val="22"/>
          <w:szCs w:val="22"/>
        </w:rPr>
        <w:t xml:space="preserve"> 1-2025-32357 y</w:t>
      </w:r>
      <w:r>
        <w:rPr>
          <w:rFonts w:ascii="Arial" w:eastAsia="Arial" w:hAnsi="Arial" w:cs="Arial"/>
          <w:sz w:val="22"/>
          <w:szCs w:val="22"/>
        </w:rPr>
        <w:t xml:space="preserve"> 1-2025-35775 la parte quejosa solicita copia del Informe de </w:t>
      </w:r>
      <w:r w:rsidR="00C2204F">
        <w:rPr>
          <w:rFonts w:ascii="Arial" w:eastAsia="Arial" w:hAnsi="Arial" w:cs="Arial"/>
          <w:sz w:val="22"/>
          <w:szCs w:val="22"/>
        </w:rPr>
        <w:t>Verificación</w:t>
      </w:r>
      <w:r>
        <w:rPr>
          <w:rFonts w:ascii="Arial" w:eastAsia="Arial" w:hAnsi="Arial" w:cs="Arial"/>
          <w:sz w:val="22"/>
          <w:szCs w:val="22"/>
        </w:rPr>
        <w:t xml:space="preserve"> de Hechos que corresponde a la visita del 30 de mayo. Esta solicitud fue resuelta a través del radicado 2-2025-36095 del 07 de junio de 2025. </w:t>
      </w:r>
    </w:p>
    <w:p w14:paraId="0B1460C6" w14:textId="77777777" w:rsidR="003F4480" w:rsidRDefault="003F4480">
      <w:pPr>
        <w:spacing w:line="276" w:lineRule="auto"/>
        <w:jc w:val="both"/>
        <w:rPr>
          <w:rFonts w:ascii="Arial" w:eastAsia="Arial" w:hAnsi="Arial" w:cs="Arial"/>
          <w:sz w:val="22"/>
          <w:szCs w:val="22"/>
        </w:rPr>
      </w:pPr>
    </w:p>
    <w:p w14:paraId="27D14BFF" w14:textId="6FE187B0" w:rsidR="003F4480" w:rsidRDefault="00376F26">
      <w:pPr>
        <w:spacing w:line="276" w:lineRule="auto"/>
        <w:jc w:val="both"/>
        <w:rPr>
          <w:rFonts w:ascii="Arial" w:eastAsia="Arial" w:hAnsi="Arial" w:cs="Arial"/>
          <w:sz w:val="22"/>
          <w:szCs w:val="22"/>
        </w:rPr>
      </w:pPr>
      <w:r>
        <w:rPr>
          <w:rFonts w:ascii="Arial" w:eastAsia="Arial" w:hAnsi="Arial" w:cs="Arial"/>
          <w:sz w:val="22"/>
          <w:szCs w:val="22"/>
        </w:rPr>
        <w:t xml:space="preserve">Que </w:t>
      </w:r>
      <w:r w:rsidR="00C2204F">
        <w:rPr>
          <w:rFonts w:ascii="Arial" w:eastAsia="Arial" w:hAnsi="Arial" w:cs="Arial"/>
          <w:sz w:val="22"/>
          <w:szCs w:val="22"/>
        </w:rPr>
        <w:t xml:space="preserve">de la visita realizada el día 30 de mayo de 2025, se proyectó </w:t>
      </w:r>
      <w:r>
        <w:rPr>
          <w:rFonts w:ascii="Arial" w:eastAsia="Arial" w:hAnsi="Arial" w:cs="Arial"/>
          <w:sz w:val="22"/>
          <w:szCs w:val="22"/>
        </w:rPr>
        <w:t xml:space="preserve">el </w:t>
      </w:r>
      <w:r w:rsidR="00C2204F">
        <w:rPr>
          <w:rFonts w:ascii="Arial" w:eastAsia="Arial" w:hAnsi="Arial" w:cs="Arial"/>
          <w:sz w:val="22"/>
          <w:szCs w:val="22"/>
        </w:rPr>
        <w:t>I</w:t>
      </w:r>
      <w:r>
        <w:rPr>
          <w:rFonts w:ascii="Arial" w:eastAsia="Arial" w:hAnsi="Arial" w:cs="Arial"/>
          <w:sz w:val="22"/>
          <w:szCs w:val="22"/>
        </w:rPr>
        <w:t xml:space="preserve">nforme de </w:t>
      </w:r>
      <w:r w:rsidR="00C2204F">
        <w:rPr>
          <w:rFonts w:ascii="Arial" w:eastAsia="Arial" w:hAnsi="Arial" w:cs="Arial"/>
          <w:sz w:val="22"/>
          <w:szCs w:val="22"/>
        </w:rPr>
        <w:t>V</w:t>
      </w:r>
      <w:r>
        <w:rPr>
          <w:rFonts w:ascii="Arial" w:eastAsia="Arial" w:hAnsi="Arial" w:cs="Arial"/>
          <w:sz w:val="22"/>
          <w:szCs w:val="22"/>
        </w:rPr>
        <w:t xml:space="preserve">erificación de </w:t>
      </w:r>
      <w:r w:rsidR="00C2204F">
        <w:rPr>
          <w:rFonts w:ascii="Arial" w:eastAsia="Arial" w:hAnsi="Arial" w:cs="Arial"/>
          <w:sz w:val="22"/>
          <w:szCs w:val="22"/>
        </w:rPr>
        <w:t>H</w:t>
      </w:r>
      <w:r>
        <w:rPr>
          <w:rFonts w:ascii="Arial" w:eastAsia="Arial" w:hAnsi="Arial" w:cs="Arial"/>
          <w:sz w:val="22"/>
          <w:szCs w:val="22"/>
        </w:rPr>
        <w:t xml:space="preserve">echos </w:t>
      </w:r>
      <w:r w:rsidR="00C2204F">
        <w:rPr>
          <w:rFonts w:ascii="Arial" w:eastAsia="Arial" w:hAnsi="Arial" w:cs="Arial"/>
          <w:sz w:val="22"/>
          <w:szCs w:val="22"/>
        </w:rPr>
        <w:t>N</w:t>
      </w:r>
      <w:r>
        <w:rPr>
          <w:rFonts w:ascii="Arial" w:eastAsia="Arial" w:hAnsi="Arial" w:cs="Arial"/>
          <w:sz w:val="22"/>
          <w:szCs w:val="22"/>
        </w:rPr>
        <w:t>o.25</w:t>
      </w:r>
      <w:r w:rsidR="00C2204F">
        <w:rPr>
          <w:rFonts w:ascii="Arial" w:eastAsia="Arial" w:hAnsi="Arial" w:cs="Arial"/>
          <w:sz w:val="22"/>
          <w:szCs w:val="22"/>
        </w:rPr>
        <w:t>-</w:t>
      </w:r>
      <w:r>
        <w:rPr>
          <w:rFonts w:ascii="Arial" w:eastAsia="Arial" w:hAnsi="Arial" w:cs="Arial"/>
          <w:sz w:val="22"/>
          <w:szCs w:val="22"/>
        </w:rPr>
        <w:t>363 del 19 de agosto de 2025</w:t>
      </w:r>
      <w:r w:rsidR="00C2204F">
        <w:rPr>
          <w:rFonts w:ascii="Arial" w:eastAsia="Arial" w:hAnsi="Arial" w:cs="Arial"/>
          <w:sz w:val="22"/>
          <w:szCs w:val="22"/>
        </w:rPr>
        <w:t xml:space="preserve">, donde se </w:t>
      </w:r>
      <w:r w:rsidR="00E94A3A">
        <w:rPr>
          <w:rFonts w:ascii="Arial" w:eastAsia="Arial" w:hAnsi="Arial" w:cs="Arial"/>
          <w:sz w:val="22"/>
          <w:szCs w:val="22"/>
        </w:rPr>
        <w:t xml:space="preserve">determinó </w:t>
      </w:r>
      <w:r w:rsidR="00C2204F">
        <w:rPr>
          <w:rFonts w:ascii="Arial" w:eastAsia="Arial" w:hAnsi="Arial" w:cs="Arial"/>
          <w:sz w:val="22"/>
          <w:szCs w:val="22"/>
        </w:rPr>
        <w:t xml:space="preserve">que el hecho </w:t>
      </w:r>
      <w:r w:rsidR="00E94A3A">
        <w:rPr>
          <w:rFonts w:ascii="Arial" w:eastAsia="Arial" w:hAnsi="Arial" w:cs="Arial"/>
          <w:sz w:val="22"/>
          <w:szCs w:val="22"/>
        </w:rPr>
        <w:t>aún</w:t>
      </w:r>
      <w:r w:rsidR="00C2204F">
        <w:rPr>
          <w:rFonts w:ascii="Arial" w:eastAsia="Arial" w:hAnsi="Arial" w:cs="Arial"/>
          <w:sz w:val="22"/>
          <w:szCs w:val="22"/>
        </w:rPr>
        <w:t xml:space="preserve"> per</w:t>
      </w:r>
      <w:r w:rsidR="00E94A3A">
        <w:rPr>
          <w:rFonts w:ascii="Arial" w:eastAsia="Arial" w:hAnsi="Arial" w:cs="Arial"/>
          <w:sz w:val="22"/>
          <w:szCs w:val="22"/>
        </w:rPr>
        <w:t>siste.</w:t>
      </w:r>
      <w:r>
        <w:rPr>
          <w:rFonts w:ascii="Arial" w:eastAsia="Arial" w:hAnsi="Arial" w:cs="Arial"/>
          <w:sz w:val="22"/>
          <w:szCs w:val="22"/>
        </w:rPr>
        <w:t xml:space="preserve"> </w:t>
      </w:r>
    </w:p>
    <w:p w14:paraId="08186D87" w14:textId="77777777" w:rsidR="003F4480" w:rsidRDefault="003F4480">
      <w:pPr>
        <w:widowControl w:val="0"/>
        <w:pBdr>
          <w:top w:val="nil"/>
          <w:left w:val="nil"/>
          <w:bottom w:val="nil"/>
          <w:right w:val="nil"/>
          <w:between w:val="nil"/>
        </w:pBdr>
        <w:jc w:val="both"/>
        <w:rPr>
          <w:rFonts w:ascii="Arial" w:eastAsia="Arial" w:hAnsi="Arial" w:cs="Arial"/>
          <w:sz w:val="22"/>
          <w:szCs w:val="22"/>
        </w:rPr>
      </w:pPr>
      <w:bookmarkStart w:id="5" w:name="_heading=h.tc6zsmilbbze" w:colFirst="0" w:colLast="0"/>
      <w:bookmarkEnd w:id="5"/>
    </w:p>
    <w:p w14:paraId="2C2E92AF" w14:textId="5625BEC0" w:rsidR="003F4480" w:rsidRDefault="00376F26">
      <w:pPr>
        <w:ind w:right="-92"/>
        <w:jc w:val="both"/>
        <w:rPr>
          <w:rFonts w:ascii="Arial" w:eastAsia="Arial" w:hAnsi="Arial" w:cs="Arial"/>
          <w:sz w:val="22"/>
          <w:szCs w:val="22"/>
        </w:rPr>
      </w:pPr>
      <w:r>
        <w:rPr>
          <w:rFonts w:ascii="Arial" w:eastAsia="Arial" w:hAnsi="Arial" w:cs="Arial"/>
          <w:sz w:val="22"/>
          <w:szCs w:val="22"/>
        </w:rPr>
        <w:t>En razón a lo aquí expuesto, este Despacho procederá a determinar si resulta procedente la imposición de multas sucesivas ante la carencia de acreditación del cumplimiento de las órdenes de hacer impuestas mediante Resolución No.</w:t>
      </w:r>
      <w:r w:rsidR="00E94A3A">
        <w:rPr>
          <w:rFonts w:ascii="Arial" w:eastAsia="Arial" w:hAnsi="Arial" w:cs="Arial"/>
          <w:sz w:val="22"/>
          <w:szCs w:val="22"/>
        </w:rPr>
        <w:t>3099 del 20 de diciembre de 2022</w:t>
      </w:r>
      <w:r>
        <w:rPr>
          <w:rFonts w:ascii="Arial" w:eastAsia="Arial" w:hAnsi="Arial" w:cs="Arial"/>
          <w:sz w:val="22"/>
          <w:szCs w:val="22"/>
        </w:rPr>
        <w:t>, de conformidad a lo expuesto en el inciso segundo, numeral 9° del artículo 2° del Decreto Ley 078 de 1987.</w:t>
      </w:r>
    </w:p>
    <w:p w14:paraId="11BE17B9" w14:textId="77777777" w:rsidR="003F4480" w:rsidRDefault="003F4480">
      <w:pPr>
        <w:pBdr>
          <w:top w:val="nil"/>
          <w:left w:val="nil"/>
          <w:bottom w:val="nil"/>
          <w:right w:val="nil"/>
          <w:between w:val="nil"/>
        </w:pBdr>
        <w:ind w:left="-284" w:right="-92"/>
        <w:jc w:val="center"/>
        <w:rPr>
          <w:rFonts w:ascii="Arial" w:eastAsia="Arial" w:hAnsi="Arial" w:cs="Arial"/>
          <w:b/>
          <w:bCs/>
          <w:sz w:val="22"/>
          <w:szCs w:val="22"/>
        </w:rPr>
      </w:pPr>
    </w:p>
    <w:p w14:paraId="44A0C702" w14:textId="77777777" w:rsidR="003F4480" w:rsidRDefault="00376F26">
      <w:pPr>
        <w:pBdr>
          <w:top w:val="nil"/>
          <w:left w:val="nil"/>
          <w:bottom w:val="nil"/>
          <w:right w:val="nil"/>
          <w:between w:val="nil"/>
        </w:pBdr>
        <w:ind w:left="-284" w:right="-92"/>
        <w:jc w:val="center"/>
        <w:rPr>
          <w:rFonts w:ascii="Arial" w:eastAsia="Arial" w:hAnsi="Arial" w:cs="Arial"/>
          <w:b/>
          <w:bCs/>
          <w:sz w:val="22"/>
          <w:szCs w:val="22"/>
        </w:rPr>
      </w:pPr>
      <w:r>
        <w:rPr>
          <w:rFonts w:ascii="Arial" w:eastAsia="Arial" w:hAnsi="Arial" w:cs="Arial"/>
          <w:b/>
          <w:bCs/>
          <w:sz w:val="22"/>
          <w:szCs w:val="22"/>
        </w:rPr>
        <w:t>CONSIDERACIONES DEL DESPACHO</w:t>
      </w:r>
    </w:p>
    <w:p w14:paraId="66FF7768" w14:textId="77777777" w:rsidR="003F4480" w:rsidRDefault="003F4480">
      <w:pPr>
        <w:pBdr>
          <w:top w:val="nil"/>
          <w:left w:val="nil"/>
          <w:bottom w:val="nil"/>
          <w:right w:val="nil"/>
          <w:between w:val="nil"/>
        </w:pBdr>
        <w:ind w:left="-284" w:right="-92"/>
        <w:jc w:val="center"/>
        <w:rPr>
          <w:rFonts w:ascii="Arial" w:eastAsia="Arial" w:hAnsi="Arial" w:cs="Arial"/>
          <w:b/>
          <w:bCs/>
          <w:sz w:val="22"/>
          <w:szCs w:val="22"/>
        </w:rPr>
      </w:pPr>
    </w:p>
    <w:p w14:paraId="7194CF42" w14:textId="77777777" w:rsidR="003F4480" w:rsidRDefault="00376F26">
      <w:pPr>
        <w:ind w:right="-92"/>
        <w:jc w:val="both"/>
        <w:rPr>
          <w:rFonts w:ascii="Arial" w:eastAsia="Arial" w:hAnsi="Arial" w:cs="Arial"/>
          <w:sz w:val="22"/>
          <w:szCs w:val="22"/>
        </w:rPr>
      </w:pPr>
      <w:r>
        <w:rPr>
          <w:rFonts w:ascii="Arial" w:eastAsia="Arial" w:hAnsi="Arial" w:cs="Arial"/>
          <w:sz w:val="22"/>
          <w:szCs w:val="22"/>
        </w:rPr>
        <w:t>Debe esta Dirección partir de que la función de inspección, vigilancia y control sobre la actividad de enajenación de inmuebles destinados a vivienda, de conformidad con las Leyes 66 de 1968, 388 de 1997, Decretos Leyes 2610 de 1979, 078 de 1987 y demás normas concordantes, se ejerce sobre las personas naturales o jurídicas que desarrollen la actividad de enajenación de vivienda en el Distrito, con el propósito de resguardar el orden social y amparar la observancia de la ley.</w:t>
      </w:r>
    </w:p>
    <w:p w14:paraId="74E00831" w14:textId="77777777" w:rsidR="003F4480" w:rsidRDefault="003F4480">
      <w:pPr>
        <w:ind w:right="-92"/>
        <w:jc w:val="both"/>
        <w:rPr>
          <w:rFonts w:ascii="Arial" w:eastAsia="Arial" w:hAnsi="Arial" w:cs="Arial"/>
          <w:sz w:val="22"/>
          <w:szCs w:val="22"/>
        </w:rPr>
      </w:pPr>
    </w:p>
    <w:p w14:paraId="51A72B52" w14:textId="77777777" w:rsidR="003F4480" w:rsidRDefault="00376F26">
      <w:pPr>
        <w:jc w:val="both"/>
        <w:rPr>
          <w:rFonts w:ascii="Arial" w:eastAsia="Arial" w:hAnsi="Arial" w:cs="Arial"/>
          <w:sz w:val="22"/>
          <w:szCs w:val="22"/>
        </w:rPr>
      </w:pPr>
      <w:r>
        <w:rPr>
          <w:rFonts w:ascii="Arial" w:eastAsia="Arial" w:hAnsi="Arial" w:cs="Arial"/>
          <w:sz w:val="22"/>
          <w:szCs w:val="22"/>
        </w:rPr>
        <w:t xml:space="preserve">Bajo este entendido, el artículo 111 del Decreto 653 de 2025 establece que los hechos relacionados con la existencia de deficiencias constructivas o el desmejoramiento de especificaciones técnicas deberán sancionarse por la Subsecretaría de Inspección, Vigilancia y Control de Vivienda, o por la autoridad que haga sus veces; motivo por el cual, en ejercicio de dichas funciones esta Entidad procedió a imponer sanción mediante </w:t>
      </w:r>
      <w:r>
        <w:rPr>
          <w:rFonts w:ascii="Arial" w:eastAsia="Arial" w:hAnsi="Arial" w:cs="Arial"/>
          <w:sz w:val="22"/>
          <w:szCs w:val="22"/>
        </w:rPr>
        <w:lastRenderedPageBreak/>
        <w:t>Resolución No. 3099 del 20 de diciembre de 2022,  “</w:t>
      </w:r>
      <w:r>
        <w:rPr>
          <w:rFonts w:ascii="Arial" w:eastAsia="Arial" w:hAnsi="Arial" w:cs="Arial"/>
          <w:i/>
          <w:iCs/>
          <w:sz w:val="22"/>
          <w:szCs w:val="22"/>
        </w:rPr>
        <w:t>Por la cual se impone una sanción y se imparte una orden</w:t>
      </w:r>
      <w:r>
        <w:rPr>
          <w:rFonts w:ascii="Arial" w:eastAsia="Arial" w:hAnsi="Arial" w:cs="Arial"/>
          <w:sz w:val="22"/>
          <w:szCs w:val="22"/>
        </w:rPr>
        <w:t>”, a la sociedad enajenadora CONINSA S.A.S cual debía ser cumplida dentro del plazo fijado contado a partir de la ejecutoria de esta.</w:t>
      </w:r>
    </w:p>
    <w:p w14:paraId="1535DBCF" w14:textId="77777777" w:rsidR="003F4480" w:rsidRDefault="003F4480">
      <w:pPr>
        <w:ind w:right="-92"/>
        <w:jc w:val="both"/>
        <w:rPr>
          <w:rFonts w:ascii="Arial" w:eastAsia="Arial" w:hAnsi="Arial" w:cs="Arial"/>
          <w:sz w:val="22"/>
          <w:szCs w:val="22"/>
        </w:rPr>
      </w:pPr>
    </w:p>
    <w:p w14:paraId="4E3E40B5" w14:textId="77777777" w:rsidR="003F4480" w:rsidRDefault="00376F26">
      <w:pPr>
        <w:ind w:right="-92"/>
        <w:jc w:val="both"/>
        <w:rPr>
          <w:rFonts w:ascii="Arial" w:eastAsia="Arial" w:hAnsi="Arial" w:cs="Arial"/>
          <w:sz w:val="22"/>
          <w:szCs w:val="22"/>
        </w:rPr>
      </w:pPr>
      <w:r>
        <w:rPr>
          <w:rFonts w:ascii="Arial" w:eastAsia="Arial" w:hAnsi="Arial" w:cs="Arial"/>
          <w:sz w:val="22"/>
          <w:szCs w:val="22"/>
        </w:rPr>
        <w:t>Ahora bien, el artículo 126 del Decreto 653 de 2025 señala que una vez ejecutoriada la actuación que imponga una orden a los enajenadores responsables del proyecto de vivienda, y superado el término dispuesto para su cumplimiento, se adelantará el SEGUIMIENTO A LA ORDEN para corroborar el cumplimiento del acto administrativo que la impuso.</w:t>
      </w:r>
    </w:p>
    <w:p w14:paraId="4545358C" w14:textId="77777777" w:rsidR="003F4480" w:rsidRDefault="003F4480">
      <w:pPr>
        <w:ind w:right="-92"/>
        <w:jc w:val="both"/>
        <w:rPr>
          <w:rFonts w:ascii="Arial" w:eastAsia="Arial" w:hAnsi="Arial" w:cs="Arial"/>
          <w:sz w:val="22"/>
          <w:szCs w:val="22"/>
        </w:rPr>
      </w:pPr>
    </w:p>
    <w:p w14:paraId="0B2414E1" w14:textId="77777777" w:rsidR="003F4480" w:rsidRDefault="00376F26">
      <w:pPr>
        <w:pBdr>
          <w:top w:val="nil"/>
          <w:left w:val="nil"/>
          <w:bottom w:val="nil"/>
          <w:right w:val="nil"/>
          <w:between w:val="nil"/>
        </w:pBdr>
        <w:ind w:right="-92"/>
        <w:jc w:val="both"/>
        <w:rPr>
          <w:rFonts w:ascii="Arial" w:eastAsia="Arial" w:hAnsi="Arial" w:cs="Arial"/>
          <w:sz w:val="22"/>
          <w:szCs w:val="22"/>
        </w:rPr>
      </w:pPr>
      <w:r>
        <w:rPr>
          <w:rFonts w:ascii="Arial" w:eastAsia="Arial" w:hAnsi="Arial" w:cs="Arial"/>
          <w:sz w:val="22"/>
          <w:szCs w:val="22"/>
        </w:rPr>
        <w:t xml:space="preserve">Visto lo anterior, el artículo 2, numeral 9 del Decreto Nacional 078 de 1987, en concordancia con el artículo 28 de la ley 66 de 1968, modificado por el artículo 11 del Decreto Ley 2610 de 1979, establece la imposición de multas sucesivas de diez mil pesos ($10.000.oo) a quinientos mil pesos ($500.000.oo) M/cte., a las personas o entidades que </w:t>
      </w:r>
      <w:r>
        <w:rPr>
          <w:rFonts w:ascii="Arial" w:eastAsia="Arial" w:hAnsi="Arial" w:cs="Arial"/>
          <w:b/>
          <w:bCs/>
          <w:sz w:val="22"/>
          <w:szCs w:val="22"/>
          <w:u w:val="single"/>
        </w:rPr>
        <w:t>incumplan las órdenes</w:t>
      </w:r>
      <w:r>
        <w:rPr>
          <w:rFonts w:ascii="Arial" w:eastAsia="Arial" w:hAnsi="Arial" w:cs="Arial"/>
          <w:sz w:val="22"/>
          <w:szCs w:val="22"/>
        </w:rPr>
        <w:t xml:space="preserve"> o requerimientos que en uso de las facultades de inspección y vigilancia expida la autoridad de vivienda, para que se sujeten a las normas exigidas por las autoridades nacionales, departamentales, metropolitanas, municipales y distritales y/o para que se ajusten a las prescripciones de la Ley 66 de 1968. </w:t>
      </w:r>
    </w:p>
    <w:p w14:paraId="0241A720" w14:textId="77777777" w:rsidR="003F4480" w:rsidRDefault="003F4480">
      <w:pPr>
        <w:pBdr>
          <w:top w:val="nil"/>
          <w:left w:val="nil"/>
          <w:bottom w:val="nil"/>
          <w:right w:val="nil"/>
          <w:between w:val="nil"/>
        </w:pBdr>
        <w:ind w:left="720" w:right="-92"/>
        <w:jc w:val="both"/>
        <w:rPr>
          <w:rFonts w:ascii="Arial" w:eastAsia="Arial" w:hAnsi="Arial" w:cs="Arial"/>
          <w:sz w:val="22"/>
          <w:szCs w:val="22"/>
        </w:rPr>
      </w:pPr>
    </w:p>
    <w:p w14:paraId="2BB5309F" w14:textId="77777777" w:rsidR="003F4480" w:rsidRDefault="00376F26">
      <w:pPr>
        <w:jc w:val="both"/>
        <w:rPr>
          <w:rFonts w:ascii="Arial" w:eastAsia="Arial" w:hAnsi="Arial" w:cs="Arial"/>
          <w:sz w:val="22"/>
          <w:szCs w:val="22"/>
        </w:rPr>
      </w:pPr>
      <w:bookmarkStart w:id="6" w:name="_heading=h.1t3h5sf" w:colFirst="0" w:colLast="0"/>
      <w:bookmarkEnd w:id="6"/>
      <w:r>
        <w:rPr>
          <w:rFonts w:ascii="Arial" w:eastAsia="Arial" w:hAnsi="Arial" w:cs="Arial"/>
          <w:sz w:val="22"/>
          <w:szCs w:val="22"/>
        </w:rPr>
        <w:t>En concordancia con lo expresado, procede este Despacho a realizar el estudio de las actuaciones adelantadas, así como de los elementos probatorios recaudados por esta Dirección, sobre los hechos objeto de las órdenes hacer referentes a la Resolución No. 3099 del 20 de diciembre de 2022, “</w:t>
      </w:r>
      <w:r>
        <w:rPr>
          <w:rFonts w:ascii="Arial" w:eastAsia="Arial" w:hAnsi="Arial" w:cs="Arial"/>
          <w:i/>
          <w:iCs/>
          <w:sz w:val="22"/>
          <w:szCs w:val="22"/>
        </w:rPr>
        <w:t>Por la cual se impone una sanción y se imparte una orden</w:t>
      </w:r>
      <w:r>
        <w:rPr>
          <w:rFonts w:ascii="Arial" w:eastAsia="Arial" w:hAnsi="Arial" w:cs="Arial"/>
          <w:sz w:val="22"/>
          <w:szCs w:val="22"/>
        </w:rPr>
        <w:t>”.</w:t>
      </w:r>
    </w:p>
    <w:p w14:paraId="61170DDE" w14:textId="77777777" w:rsidR="003F4480" w:rsidRDefault="003F4480">
      <w:pPr>
        <w:jc w:val="both"/>
        <w:rPr>
          <w:rFonts w:ascii="Arial" w:eastAsia="Arial" w:hAnsi="Arial" w:cs="Arial"/>
          <w:sz w:val="22"/>
          <w:szCs w:val="22"/>
        </w:rPr>
      </w:pPr>
    </w:p>
    <w:p w14:paraId="4C7BE0C7" w14:textId="77777777" w:rsidR="003F4480" w:rsidRDefault="00376F26">
      <w:pPr>
        <w:widowControl w:val="0"/>
        <w:jc w:val="center"/>
        <w:rPr>
          <w:rFonts w:ascii="Arial" w:eastAsia="Arial" w:hAnsi="Arial" w:cs="Arial"/>
          <w:b/>
          <w:bCs/>
          <w:sz w:val="22"/>
          <w:szCs w:val="22"/>
        </w:rPr>
      </w:pPr>
      <w:r>
        <w:rPr>
          <w:rFonts w:ascii="Arial" w:eastAsia="Arial" w:hAnsi="Arial" w:cs="Arial"/>
          <w:b/>
          <w:bCs/>
          <w:sz w:val="22"/>
          <w:szCs w:val="22"/>
        </w:rPr>
        <w:t>ANÁLISIS PROBATORIO</w:t>
      </w:r>
    </w:p>
    <w:p w14:paraId="476B180C" w14:textId="77777777" w:rsidR="003F4480" w:rsidRDefault="003F4480">
      <w:pPr>
        <w:ind w:right="50"/>
        <w:jc w:val="both"/>
        <w:rPr>
          <w:rFonts w:ascii="Arial" w:eastAsia="Arial" w:hAnsi="Arial" w:cs="Arial"/>
          <w:sz w:val="22"/>
          <w:szCs w:val="22"/>
        </w:rPr>
      </w:pPr>
    </w:p>
    <w:p w14:paraId="72865175" w14:textId="0DEA4D21" w:rsidR="003F4480" w:rsidRDefault="00376F26">
      <w:pPr>
        <w:ind w:right="50"/>
        <w:jc w:val="both"/>
        <w:rPr>
          <w:rFonts w:ascii="Arial" w:eastAsia="Arial" w:hAnsi="Arial" w:cs="Arial"/>
          <w:sz w:val="22"/>
          <w:szCs w:val="22"/>
        </w:rPr>
      </w:pPr>
      <w:r>
        <w:rPr>
          <w:rFonts w:ascii="Arial" w:eastAsia="Arial" w:hAnsi="Arial" w:cs="Arial"/>
          <w:sz w:val="22"/>
          <w:szCs w:val="22"/>
        </w:rPr>
        <w:t xml:space="preserve">Dentro de la actuación administrativa y las pruebas que reposan en el expediente, se tiene que la sociedad enajenadora CONINSA S.A.S, contaba con un término de seis (6) </w:t>
      </w:r>
      <w:r w:rsidR="00E94A3A">
        <w:rPr>
          <w:rFonts w:ascii="Arial" w:eastAsia="Arial" w:hAnsi="Arial" w:cs="Arial"/>
          <w:sz w:val="22"/>
          <w:szCs w:val="22"/>
        </w:rPr>
        <w:t>meses</w:t>
      </w:r>
      <w:r>
        <w:rPr>
          <w:rFonts w:ascii="Arial" w:eastAsia="Arial" w:hAnsi="Arial" w:cs="Arial"/>
          <w:sz w:val="22"/>
          <w:szCs w:val="22"/>
        </w:rPr>
        <w:t>, para realizar los trabajos tendientes a solucionar en forma definitiva los hechos que afectan las</w:t>
      </w:r>
      <w:r>
        <w:rPr>
          <w:rFonts w:ascii="Arial" w:eastAsia="Arial" w:hAnsi="Arial" w:cs="Arial"/>
          <w:color w:val="FF9900"/>
          <w:sz w:val="22"/>
          <w:szCs w:val="22"/>
        </w:rPr>
        <w:t xml:space="preserve"> </w:t>
      </w:r>
      <w:r>
        <w:rPr>
          <w:rFonts w:ascii="Arial" w:eastAsia="Arial" w:hAnsi="Arial" w:cs="Arial"/>
          <w:sz w:val="22"/>
          <w:szCs w:val="22"/>
        </w:rPr>
        <w:t>áreas privadas del apartamento 810 del proyecto de vivienda EDIFICIO THINK APARTAMENTOS - PROPIEDAD HORIZONTAL</w:t>
      </w:r>
    </w:p>
    <w:p w14:paraId="25EFF230" w14:textId="77777777" w:rsidR="003F4480" w:rsidRDefault="003F4480">
      <w:pPr>
        <w:ind w:right="50"/>
        <w:jc w:val="both"/>
        <w:rPr>
          <w:rFonts w:ascii="Arial" w:eastAsia="Arial" w:hAnsi="Arial" w:cs="Arial"/>
          <w:sz w:val="22"/>
          <w:szCs w:val="22"/>
        </w:rPr>
      </w:pPr>
    </w:p>
    <w:p w14:paraId="012AD882" w14:textId="77777777" w:rsidR="003F4480" w:rsidRDefault="00376F26">
      <w:pPr>
        <w:jc w:val="both"/>
        <w:rPr>
          <w:rFonts w:ascii="Arial" w:eastAsia="Arial" w:hAnsi="Arial" w:cs="Arial"/>
          <w:color w:val="FF9900"/>
          <w:sz w:val="22"/>
          <w:szCs w:val="22"/>
        </w:rPr>
      </w:pPr>
      <w:r>
        <w:rPr>
          <w:rFonts w:ascii="Arial" w:eastAsia="Arial" w:hAnsi="Arial" w:cs="Arial"/>
          <w:sz w:val="22"/>
          <w:szCs w:val="22"/>
        </w:rPr>
        <w:t>Así mismo, se tiene que la sociedad enajenadora tenía un plazo de 10 días, siguientes al cumplimiento del término otorgado para el cumplimiento de la orden de hacer, para acreditar ante este Despacho la realización de las labores de corrección sobre los citados hechos, tal como lo dispone el artículo tercero de la Resolución No. 3099 del 20 de diciembre de 2022.</w:t>
      </w:r>
    </w:p>
    <w:p w14:paraId="70FEB69B" w14:textId="679A1172" w:rsidR="003F4480" w:rsidRDefault="00376F26">
      <w:pPr>
        <w:spacing w:before="240" w:after="240"/>
        <w:jc w:val="both"/>
        <w:rPr>
          <w:rFonts w:ascii="Arial" w:eastAsia="Arial" w:hAnsi="Arial" w:cs="Arial"/>
          <w:sz w:val="22"/>
          <w:szCs w:val="22"/>
        </w:rPr>
      </w:pPr>
      <w:r>
        <w:rPr>
          <w:rFonts w:ascii="Arial" w:eastAsia="Arial" w:hAnsi="Arial" w:cs="Arial"/>
          <w:sz w:val="22"/>
          <w:szCs w:val="22"/>
        </w:rPr>
        <w:t>Del análisis del material probatorio, en especial del último informe de verificación de hechos No. 25363 del 19 de agosto de 2025, no se acredita la subsanación de la situación objeto de la orden de hacer. Por el contrario, se evidenció la persistencia de la filtración en la placa de entrepiso del apartamento 810, con presencia de humedades activas</w:t>
      </w:r>
      <w:r w:rsidR="00E94A3A">
        <w:rPr>
          <w:rFonts w:ascii="Arial" w:eastAsia="Arial" w:hAnsi="Arial" w:cs="Arial"/>
          <w:sz w:val="22"/>
          <w:szCs w:val="22"/>
        </w:rPr>
        <w:t>, como se evidencia así:</w:t>
      </w:r>
    </w:p>
    <w:p w14:paraId="12097204" w14:textId="77777777" w:rsidR="00E94A3A" w:rsidRDefault="00E94A3A" w:rsidP="00E94A3A">
      <w:pPr>
        <w:spacing w:line="276" w:lineRule="auto"/>
        <w:jc w:val="center"/>
        <w:rPr>
          <w:rFonts w:ascii="Arial" w:eastAsia="Arial" w:hAnsi="Arial" w:cs="Arial"/>
          <w:i/>
          <w:iCs/>
          <w:sz w:val="22"/>
          <w:szCs w:val="22"/>
        </w:rPr>
      </w:pPr>
      <w:r>
        <w:rPr>
          <w:rFonts w:ascii="Arial" w:eastAsia="Arial" w:hAnsi="Arial" w:cs="Arial"/>
          <w:i/>
          <w:iCs/>
          <w:sz w:val="22"/>
          <w:szCs w:val="22"/>
        </w:rPr>
        <w:lastRenderedPageBreak/>
        <w:t xml:space="preserve">Hallazgos </w:t>
      </w:r>
    </w:p>
    <w:p w14:paraId="0F67C398" w14:textId="77777777" w:rsidR="00E94A3A" w:rsidRDefault="00E94A3A" w:rsidP="00E94A3A">
      <w:pPr>
        <w:spacing w:line="276" w:lineRule="auto"/>
        <w:jc w:val="both"/>
        <w:rPr>
          <w:rFonts w:ascii="Arial" w:eastAsia="Arial" w:hAnsi="Arial" w:cs="Arial"/>
          <w:i/>
          <w:iCs/>
          <w:sz w:val="22"/>
          <w:szCs w:val="22"/>
        </w:rPr>
      </w:pPr>
    </w:p>
    <w:p w14:paraId="5A002266" w14:textId="77777777" w:rsidR="00E94A3A" w:rsidRDefault="00E94A3A" w:rsidP="00E94A3A">
      <w:pPr>
        <w:spacing w:line="276" w:lineRule="auto"/>
        <w:ind w:left="720"/>
        <w:jc w:val="both"/>
        <w:rPr>
          <w:rFonts w:ascii="Arial" w:eastAsia="Arial" w:hAnsi="Arial" w:cs="Arial"/>
          <w:i/>
          <w:iCs/>
          <w:sz w:val="22"/>
          <w:szCs w:val="22"/>
        </w:rPr>
      </w:pPr>
      <w:r>
        <w:rPr>
          <w:rFonts w:ascii="Arial" w:eastAsia="Arial" w:hAnsi="Arial" w:cs="Arial"/>
          <w:i/>
          <w:iCs/>
          <w:sz w:val="22"/>
          <w:szCs w:val="22"/>
        </w:rPr>
        <w:t>1. PLACA DE ENTREPISO CON FILTRACIÓN</w:t>
      </w:r>
    </w:p>
    <w:p w14:paraId="5234897B" w14:textId="77777777" w:rsidR="00E94A3A" w:rsidRDefault="00E94A3A" w:rsidP="00E94A3A">
      <w:pPr>
        <w:spacing w:line="276" w:lineRule="auto"/>
        <w:ind w:left="720"/>
        <w:jc w:val="both"/>
        <w:rPr>
          <w:rFonts w:ascii="Arial" w:eastAsia="Arial" w:hAnsi="Arial" w:cs="Arial"/>
          <w:i/>
          <w:iCs/>
          <w:sz w:val="22"/>
          <w:szCs w:val="22"/>
        </w:rPr>
      </w:pPr>
      <w:r>
        <w:rPr>
          <w:rFonts w:ascii="Arial" w:eastAsia="Arial" w:hAnsi="Arial" w:cs="Arial"/>
          <w:i/>
          <w:iCs/>
          <w:sz w:val="22"/>
          <w:szCs w:val="22"/>
        </w:rPr>
        <w:t xml:space="preserve">Durante la visita técnica se pudo observar que en el cielo raso de la cocina existe una perforación con rastros de humedades y humedades activas, luego se procedió a hacer un recorrido por la terraza transitable en el piso 9 exactamente en la zona aferente a la cubierta del apartamento 810, en donde se observaron losetas superpuestas ubicadas de forma regular sobre la placa impermeabilizada. El enajenador manifiesta que se realizó la intervención a la afectación de acuerdo con lo aportado por el enajenador al expediente. El quejoso manifiesta que cuando se intentó hacer los resanes internos, estos se desprenden por la humedad presente en el cielo raso. Por lo tanto, se puede determinar que este hecho </w:t>
      </w:r>
      <w:r>
        <w:rPr>
          <w:rFonts w:ascii="Arial" w:eastAsia="Arial" w:hAnsi="Arial" w:cs="Arial"/>
          <w:b/>
          <w:bCs/>
          <w:i/>
          <w:iCs/>
          <w:sz w:val="22"/>
          <w:szCs w:val="22"/>
          <w:u w:val="single"/>
        </w:rPr>
        <w:t>PERSISTE</w:t>
      </w:r>
      <w:r>
        <w:rPr>
          <w:rFonts w:ascii="Arial" w:eastAsia="Arial" w:hAnsi="Arial" w:cs="Arial"/>
          <w:i/>
          <w:iCs/>
          <w:sz w:val="22"/>
          <w:szCs w:val="22"/>
        </w:rPr>
        <w:t>.”</w:t>
      </w:r>
    </w:p>
    <w:p w14:paraId="7CFAA803" w14:textId="5BDF4D7C" w:rsidR="00E94A3A" w:rsidRDefault="00376F26">
      <w:pPr>
        <w:spacing w:before="240" w:after="240"/>
        <w:jc w:val="both"/>
        <w:rPr>
          <w:rFonts w:ascii="Arial" w:eastAsia="Arial" w:hAnsi="Arial" w:cs="Arial"/>
          <w:sz w:val="22"/>
          <w:szCs w:val="22"/>
        </w:rPr>
      </w:pPr>
      <w:r>
        <w:rPr>
          <w:rFonts w:ascii="Arial" w:eastAsia="Arial" w:hAnsi="Arial" w:cs="Arial"/>
          <w:sz w:val="22"/>
          <w:szCs w:val="22"/>
        </w:rPr>
        <w:t xml:space="preserve">En consecuencia, </w:t>
      </w:r>
      <w:r w:rsidR="00E94A3A">
        <w:rPr>
          <w:rFonts w:ascii="Arial" w:eastAsia="Arial" w:hAnsi="Arial" w:cs="Arial"/>
          <w:sz w:val="22"/>
          <w:szCs w:val="22"/>
        </w:rPr>
        <w:t>se evidencia que la sociedad enajenadora no ha subsanado los hechos que dieron origen a la orden de hacer señalada en la Resolución No. 3099 del 20 de diciembre de 2022, a pesar de haber contado con el tiempo suficiente para tal fin.</w:t>
      </w:r>
    </w:p>
    <w:p w14:paraId="61EADD41" w14:textId="77777777" w:rsidR="003F4480" w:rsidRDefault="00376F26">
      <w:pPr>
        <w:jc w:val="both"/>
        <w:rPr>
          <w:rFonts w:ascii="Arial" w:eastAsia="Arial" w:hAnsi="Arial" w:cs="Arial"/>
          <w:color w:val="FF0000"/>
          <w:sz w:val="22"/>
          <w:szCs w:val="22"/>
        </w:rPr>
      </w:pPr>
      <w:r>
        <w:rPr>
          <w:rFonts w:ascii="Arial" w:eastAsia="Arial" w:hAnsi="Arial" w:cs="Arial"/>
          <w:sz w:val="22"/>
          <w:szCs w:val="22"/>
        </w:rPr>
        <w:t>De esta manera, se puede concluir que a la fecha no ha sido subsanada o en su defecto se ha probado el cumplimiento de la obligación de hacer, impuesta en la Resolución No. 3099 del 20 de diciembre de 2022 a la sociedad enajenadora en mención, así como tampoco se ha demostrado que el quejoso o interesados hayan impedido la realización de las obras ordenadas.</w:t>
      </w:r>
    </w:p>
    <w:p w14:paraId="0A36F8E2" w14:textId="77777777" w:rsidR="003F4480" w:rsidRDefault="003F4480">
      <w:pPr>
        <w:jc w:val="both"/>
        <w:rPr>
          <w:rFonts w:ascii="Arial" w:eastAsia="Arial" w:hAnsi="Arial" w:cs="Arial"/>
          <w:sz w:val="22"/>
          <w:szCs w:val="22"/>
          <w:highlight w:val="white"/>
        </w:rPr>
      </w:pPr>
    </w:p>
    <w:p w14:paraId="79F6A9A6" w14:textId="77777777" w:rsidR="003F4480" w:rsidRDefault="00376F26">
      <w:pPr>
        <w:ind w:right="-92"/>
        <w:jc w:val="both"/>
        <w:rPr>
          <w:rFonts w:ascii="Arial" w:eastAsia="Arial" w:hAnsi="Arial" w:cs="Arial"/>
          <w:sz w:val="22"/>
          <w:szCs w:val="22"/>
        </w:rPr>
      </w:pPr>
      <w:r>
        <w:rPr>
          <w:rFonts w:ascii="Arial" w:eastAsia="Arial" w:hAnsi="Arial" w:cs="Arial"/>
          <w:sz w:val="22"/>
          <w:szCs w:val="22"/>
        </w:rPr>
        <w:t xml:space="preserve">Estas pruebas valoradas en conjunto bajo la sana crítica, siendo pertinentes, útiles y conducentes, llevan al operador administrativo a la creencia fehaciente de que la orden aún continúa sin ser acatada y superada. </w:t>
      </w:r>
    </w:p>
    <w:p w14:paraId="06D74450" w14:textId="77777777" w:rsidR="003F4480" w:rsidRDefault="003F4480">
      <w:pPr>
        <w:jc w:val="both"/>
        <w:rPr>
          <w:rFonts w:ascii="Arial" w:eastAsia="Arial" w:hAnsi="Arial" w:cs="Arial"/>
          <w:sz w:val="22"/>
          <w:szCs w:val="22"/>
        </w:rPr>
      </w:pPr>
    </w:p>
    <w:p w14:paraId="0B64600C" w14:textId="77777777" w:rsidR="003F4480" w:rsidRDefault="00376F26">
      <w:pPr>
        <w:pBdr>
          <w:top w:val="nil"/>
          <w:left w:val="nil"/>
          <w:bottom w:val="nil"/>
          <w:right w:val="nil"/>
          <w:between w:val="nil"/>
        </w:pBdr>
        <w:jc w:val="both"/>
        <w:rPr>
          <w:rFonts w:ascii="Arial" w:eastAsia="Arial" w:hAnsi="Arial" w:cs="Arial"/>
          <w:color w:val="000000"/>
          <w:sz w:val="22"/>
          <w:szCs w:val="22"/>
          <w:highlight w:val="white"/>
        </w:rPr>
      </w:pPr>
      <w:r>
        <w:rPr>
          <w:rFonts w:ascii="Arial" w:eastAsia="Arial" w:hAnsi="Arial" w:cs="Arial"/>
          <w:color w:val="000000"/>
          <w:sz w:val="22"/>
          <w:szCs w:val="22"/>
          <w:highlight w:val="white"/>
        </w:rPr>
        <w:t>Aunado a lo anterior, es importante señalar que no corresponde a esta Dirección evidenciar o probar la subsanación de los hechos objeto de las órdenes de hacer de oficio, sino que, por el contrario, a la sancionada le corresponde allegar las pruebas que demuestren el cumplimiento de su obligación, tal y como lo establece el artículo tercero de la</w:t>
      </w:r>
      <w:r>
        <w:rPr>
          <w:rFonts w:ascii="Arial" w:eastAsia="Arial" w:hAnsi="Arial" w:cs="Arial"/>
          <w:color w:val="FF9900"/>
          <w:sz w:val="22"/>
          <w:szCs w:val="22"/>
        </w:rPr>
        <w:t xml:space="preserve"> </w:t>
      </w:r>
      <w:r>
        <w:rPr>
          <w:rFonts w:ascii="Arial" w:eastAsia="Arial" w:hAnsi="Arial" w:cs="Arial"/>
          <w:sz w:val="22"/>
          <w:szCs w:val="22"/>
        </w:rPr>
        <w:t xml:space="preserve">Resolución No. 3099 del 20 de diciembre de 2022, </w:t>
      </w:r>
      <w:r>
        <w:rPr>
          <w:rFonts w:ascii="Arial" w:eastAsia="Arial" w:hAnsi="Arial" w:cs="Arial"/>
          <w:sz w:val="22"/>
          <w:szCs w:val="22"/>
          <w:highlight w:val="white"/>
        </w:rPr>
        <w:t>en c</w:t>
      </w:r>
      <w:r>
        <w:rPr>
          <w:rFonts w:ascii="Arial" w:eastAsia="Arial" w:hAnsi="Arial" w:cs="Arial"/>
          <w:color w:val="000000"/>
          <w:sz w:val="22"/>
          <w:szCs w:val="22"/>
          <w:highlight w:val="white"/>
        </w:rPr>
        <w:t>oncordancia con el artículo 167 del Código General del proceso, al señalar que les corresponde a las partes probar el supuesto de hecho de las normas que consagran el efecto jurídico que ellas persiguen:</w:t>
      </w:r>
    </w:p>
    <w:p w14:paraId="24C55B91" w14:textId="77777777" w:rsidR="003F4480" w:rsidRDefault="003F4480">
      <w:pPr>
        <w:jc w:val="both"/>
        <w:rPr>
          <w:rFonts w:ascii="Arial" w:eastAsia="Arial" w:hAnsi="Arial" w:cs="Arial"/>
          <w:sz w:val="22"/>
          <w:szCs w:val="22"/>
          <w:highlight w:val="white"/>
        </w:rPr>
      </w:pPr>
    </w:p>
    <w:p w14:paraId="42568DC9" w14:textId="77777777" w:rsidR="003F4480" w:rsidRDefault="00376F26">
      <w:pPr>
        <w:pBdr>
          <w:top w:val="nil"/>
          <w:left w:val="nil"/>
          <w:bottom w:val="nil"/>
          <w:right w:val="nil"/>
          <w:between w:val="nil"/>
        </w:pBdr>
        <w:ind w:left="567" w:right="50"/>
        <w:jc w:val="both"/>
        <w:rPr>
          <w:rFonts w:ascii="Arial" w:eastAsia="Arial" w:hAnsi="Arial" w:cs="Arial"/>
          <w:color w:val="000000"/>
          <w:sz w:val="22"/>
          <w:szCs w:val="22"/>
        </w:rPr>
      </w:pPr>
      <w:r>
        <w:rPr>
          <w:rFonts w:ascii="Arial" w:eastAsia="Arial" w:hAnsi="Arial" w:cs="Arial"/>
          <w:i/>
          <w:iCs/>
          <w:color w:val="000000"/>
          <w:sz w:val="22"/>
          <w:szCs w:val="22"/>
          <w:highlight w:val="white"/>
        </w:rPr>
        <w:t>“</w:t>
      </w:r>
      <w:r>
        <w:rPr>
          <w:rFonts w:ascii="Arial" w:eastAsia="Arial" w:hAnsi="Arial" w:cs="Arial"/>
          <w:b/>
          <w:bCs/>
          <w:i/>
          <w:iCs/>
          <w:color w:val="000000"/>
          <w:sz w:val="22"/>
          <w:szCs w:val="22"/>
          <w:highlight w:val="white"/>
        </w:rPr>
        <w:t>ARTÍCULO 167. CARGA DE LA PRUEBA.</w:t>
      </w:r>
      <w:r>
        <w:rPr>
          <w:rFonts w:ascii="Arial" w:eastAsia="Arial" w:hAnsi="Arial" w:cs="Arial"/>
          <w:i/>
          <w:iCs/>
          <w:color w:val="000000"/>
          <w:sz w:val="22"/>
          <w:szCs w:val="22"/>
          <w:highlight w:val="white"/>
        </w:rPr>
        <w:t xml:space="preserve"> Incumbe a las partes probar el supuesto de hecho de las normas que consagran el efecto jurídico que ellas persiguen.</w:t>
      </w:r>
    </w:p>
    <w:p w14:paraId="0D8A3622" w14:textId="77777777" w:rsidR="003F4480" w:rsidRDefault="00376F26">
      <w:pPr>
        <w:pBdr>
          <w:top w:val="nil"/>
          <w:left w:val="nil"/>
          <w:bottom w:val="nil"/>
          <w:right w:val="nil"/>
          <w:between w:val="nil"/>
        </w:pBdr>
        <w:ind w:left="567" w:right="50"/>
        <w:jc w:val="both"/>
        <w:rPr>
          <w:rFonts w:ascii="Arial" w:eastAsia="Arial" w:hAnsi="Arial" w:cs="Arial"/>
          <w:color w:val="000000"/>
          <w:sz w:val="22"/>
          <w:szCs w:val="22"/>
        </w:rPr>
      </w:pPr>
      <w:r>
        <w:rPr>
          <w:rFonts w:ascii="Arial" w:eastAsia="Arial" w:hAnsi="Arial" w:cs="Arial"/>
          <w:i/>
          <w:iCs/>
          <w:color w:val="000000"/>
          <w:sz w:val="22"/>
          <w:szCs w:val="22"/>
          <w:highlight w:val="white"/>
        </w:rPr>
        <w:t> </w:t>
      </w:r>
    </w:p>
    <w:p w14:paraId="0A4B6F3A" w14:textId="77777777" w:rsidR="003F4480" w:rsidRDefault="00376F26">
      <w:pPr>
        <w:pBdr>
          <w:top w:val="nil"/>
          <w:left w:val="nil"/>
          <w:bottom w:val="nil"/>
          <w:right w:val="nil"/>
          <w:between w:val="nil"/>
        </w:pBdr>
        <w:ind w:left="567" w:right="50"/>
        <w:jc w:val="both"/>
        <w:rPr>
          <w:rFonts w:ascii="Arial" w:eastAsia="Arial" w:hAnsi="Arial" w:cs="Arial"/>
          <w:color w:val="000000"/>
          <w:sz w:val="22"/>
          <w:szCs w:val="22"/>
        </w:rPr>
      </w:pPr>
      <w:r>
        <w:rPr>
          <w:rFonts w:ascii="Arial" w:eastAsia="Arial" w:hAnsi="Arial" w:cs="Arial"/>
          <w:i/>
          <w:iCs/>
          <w:color w:val="000000"/>
          <w:sz w:val="22"/>
          <w:szCs w:val="22"/>
          <w:highlight w:val="white"/>
        </w:rPr>
        <w:t xml:space="preserve">No obstante, según las particularidades del caso, el juez podrá, de oficio o a petición de parte, distribuir, la carga al decretar las pruebas, durante su práctica o en cualquier momento del proceso antes de fallar, exigiendo probar determinado hecho a la parte que se encuentre en una situación más favorable para aportar las evidencias o esclarecer los hechos controvertidos. La parte se considerará en mejor posición para </w:t>
      </w:r>
      <w:r>
        <w:rPr>
          <w:rFonts w:ascii="Arial" w:eastAsia="Arial" w:hAnsi="Arial" w:cs="Arial"/>
          <w:i/>
          <w:iCs/>
          <w:color w:val="000000"/>
          <w:sz w:val="22"/>
          <w:szCs w:val="22"/>
          <w:highlight w:val="white"/>
        </w:rPr>
        <w:lastRenderedPageBreak/>
        <w:t>probar en virtud de su cercanía con el material probatorio, por tener en su poder el objeto de prueba, por circunstancias técnicas especiales, por haber intervenido directamente en los hechos que dieron lugar al litigio, o por estado de indefensión o de incapacidad en la cual se encuentre la contraparte, entre otras circunstancias similares.</w:t>
      </w:r>
    </w:p>
    <w:p w14:paraId="0AF6B261" w14:textId="77777777" w:rsidR="003F4480" w:rsidRDefault="00376F26">
      <w:pPr>
        <w:pBdr>
          <w:top w:val="nil"/>
          <w:left w:val="nil"/>
          <w:bottom w:val="nil"/>
          <w:right w:val="nil"/>
          <w:between w:val="nil"/>
        </w:pBdr>
        <w:ind w:left="567" w:right="50"/>
        <w:jc w:val="both"/>
        <w:rPr>
          <w:rFonts w:ascii="Arial" w:eastAsia="Arial" w:hAnsi="Arial" w:cs="Arial"/>
          <w:color w:val="000000"/>
          <w:sz w:val="22"/>
          <w:szCs w:val="22"/>
        </w:rPr>
      </w:pPr>
      <w:r>
        <w:rPr>
          <w:rFonts w:ascii="Arial" w:eastAsia="Arial" w:hAnsi="Arial" w:cs="Arial"/>
          <w:i/>
          <w:iCs/>
          <w:color w:val="000000"/>
          <w:sz w:val="22"/>
          <w:szCs w:val="22"/>
          <w:highlight w:val="white"/>
        </w:rPr>
        <w:t> </w:t>
      </w:r>
    </w:p>
    <w:p w14:paraId="3525F075" w14:textId="77777777" w:rsidR="003F4480" w:rsidRDefault="00376F26">
      <w:pPr>
        <w:pBdr>
          <w:top w:val="nil"/>
          <w:left w:val="nil"/>
          <w:bottom w:val="nil"/>
          <w:right w:val="nil"/>
          <w:between w:val="nil"/>
        </w:pBdr>
        <w:ind w:left="567" w:right="50"/>
        <w:jc w:val="both"/>
        <w:rPr>
          <w:rFonts w:ascii="Arial" w:eastAsia="Arial" w:hAnsi="Arial" w:cs="Arial"/>
          <w:color w:val="000000"/>
          <w:sz w:val="22"/>
          <w:szCs w:val="22"/>
        </w:rPr>
      </w:pPr>
      <w:r>
        <w:rPr>
          <w:rFonts w:ascii="Arial" w:eastAsia="Arial" w:hAnsi="Arial" w:cs="Arial"/>
          <w:i/>
          <w:iCs/>
          <w:color w:val="000000"/>
          <w:sz w:val="22"/>
          <w:szCs w:val="22"/>
          <w:highlight w:val="white"/>
        </w:rPr>
        <w:t>Cuando el juez adopte esta decisión, que será susceptible de recurso, otorgará a la parte correspondiente el término necesario para aportar o solicitar la respectiva prueba, la cual se someterá a las reglas de contradicción previstas en este código.</w:t>
      </w:r>
    </w:p>
    <w:p w14:paraId="0B867B58" w14:textId="77777777" w:rsidR="003F4480" w:rsidRDefault="00376F26">
      <w:pPr>
        <w:pBdr>
          <w:top w:val="nil"/>
          <w:left w:val="nil"/>
          <w:bottom w:val="nil"/>
          <w:right w:val="nil"/>
          <w:between w:val="nil"/>
        </w:pBdr>
        <w:ind w:left="567" w:right="50"/>
        <w:jc w:val="both"/>
        <w:rPr>
          <w:rFonts w:ascii="Arial" w:eastAsia="Arial" w:hAnsi="Arial" w:cs="Arial"/>
          <w:color w:val="000000"/>
          <w:sz w:val="22"/>
          <w:szCs w:val="22"/>
        </w:rPr>
      </w:pPr>
      <w:r>
        <w:rPr>
          <w:rFonts w:ascii="Arial" w:eastAsia="Arial" w:hAnsi="Arial" w:cs="Arial"/>
          <w:i/>
          <w:iCs/>
          <w:color w:val="000000"/>
          <w:sz w:val="22"/>
          <w:szCs w:val="22"/>
          <w:highlight w:val="white"/>
        </w:rPr>
        <w:t> </w:t>
      </w:r>
    </w:p>
    <w:p w14:paraId="41369358" w14:textId="77777777" w:rsidR="003F4480" w:rsidRDefault="00376F26">
      <w:pPr>
        <w:pBdr>
          <w:top w:val="nil"/>
          <w:left w:val="nil"/>
          <w:bottom w:val="nil"/>
          <w:right w:val="nil"/>
          <w:between w:val="nil"/>
        </w:pBdr>
        <w:ind w:left="567" w:right="50"/>
        <w:jc w:val="both"/>
        <w:rPr>
          <w:rFonts w:ascii="Arial" w:eastAsia="Arial" w:hAnsi="Arial" w:cs="Arial"/>
          <w:color w:val="000000"/>
          <w:sz w:val="22"/>
          <w:szCs w:val="22"/>
        </w:rPr>
      </w:pPr>
      <w:r>
        <w:rPr>
          <w:rFonts w:ascii="Arial" w:eastAsia="Arial" w:hAnsi="Arial" w:cs="Arial"/>
          <w:i/>
          <w:iCs/>
          <w:color w:val="000000"/>
          <w:sz w:val="22"/>
          <w:szCs w:val="22"/>
          <w:highlight w:val="white"/>
        </w:rPr>
        <w:t>Los hechos notorios y las afirmaciones o negaciones indefinidas no requieren prueba.”.</w:t>
      </w:r>
    </w:p>
    <w:p w14:paraId="65BF6F88" w14:textId="77777777" w:rsidR="003F4480" w:rsidRDefault="00376F26">
      <w:pPr>
        <w:pBdr>
          <w:top w:val="nil"/>
          <w:left w:val="nil"/>
          <w:bottom w:val="nil"/>
          <w:right w:val="nil"/>
          <w:between w:val="nil"/>
        </w:pBdr>
        <w:jc w:val="both"/>
        <w:rPr>
          <w:rFonts w:ascii="Arial" w:eastAsia="Arial" w:hAnsi="Arial" w:cs="Arial"/>
          <w:color w:val="000000"/>
          <w:sz w:val="22"/>
          <w:szCs w:val="22"/>
        </w:rPr>
      </w:pPr>
      <w:r>
        <w:rPr>
          <w:rFonts w:ascii="Arial" w:eastAsia="Arial" w:hAnsi="Arial" w:cs="Arial"/>
          <w:i/>
          <w:iCs/>
          <w:color w:val="000000"/>
          <w:sz w:val="22"/>
          <w:szCs w:val="22"/>
          <w:highlight w:val="white"/>
        </w:rPr>
        <w:t> </w:t>
      </w:r>
    </w:p>
    <w:p w14:paraId="7C26A911" w14:textId="77777777" w:rsidR="003F4480" w:rsidRDefault="00376F26">
      <w:pPr>
        <w:jc w:val="both"/>
        <w:rPr>
          <w:rFonts w:ascii="Arial" w:eastAsia="Arial" w:hAnsi="Arial" w:cs="Arial"/>
          <w:sz w:val="22"/>
          <w:szCs w:val="22"/>
        </w:rPr>
      </w:pPr>
      <w:r>
        <w:rPr>
          <w:rFonts w:ascii="Arial" w:eastAsia="Arial" w:hAnsi="Arial" w:cs="Arial"/>
          <w:sz w:val="22"/>
          <w:szCs w:val="22"/>
        </w:rPr>
        <w:t>En efecto, es obligación de la sociedad enajenadora informar a este Despacho de las actuaciones tendientes a solucionar de manera efectiva los hechos objeto de la sanción por las deficiencias constructivas, toda vez que la misma proviene de una orden impuesta; sin embargo, como se demostró en el expediente, a la fecha no obra prueba alguna que permita establecer que los hechos han sido superados de manera definitiva, o que el quejoso o interesado han impedido la realización de las obras ordenadas, pese a qu</w:t>
      </w:r>
      <w:r>
        <w:rPr>
          <w:rFonts w:ascii="Arial" w:eastAsia="Arial" w:hAnsi="Arial" w:cs="Arial"/>
          <w:sz w:val="22"/>
          <w:szCs w:val="22"/>
        </w:rPr>
        <w:t>e ha contado con el término suficiente para ello, situación que conlleva a la imposición de multas, en los términos citados en párrafos anteriores.</w:t>
      </w:r>
    </w:p>
    <w:p w14:paraId="7230EA42" w14:textId="77777777" w:rsidR="003F4480" w:rsidRDefault="003F4480">
      <w:pPr>
        <w:ind w:left="360"/>
        <w:jc w:val="both"/>
        <w:rPr>
          <w:rFonts w:ascii="Arial" w:eastAsia="Arial" w:hAnsi="Arial" w:cs="Arial"/>
          <w:b/>
          <w:bCs/>
          <w:sz w:val="22"/>
          <w:szCs w:val="22"/>
          <w:highlight w:val="white"/>
        </w:rPr>
      </w:pPr>
    </w:p>
    <w:p w14:paraId="5997D432" w14:textId="77777777" w:rsidR="003F4480" w:rsidRDefault="00376F26">
      <w:pPr>
        <w:jc w:val="both"/>
        <w:rPr>
          <w:rFonts w:ascii="Arial" w:eastAsia="Arial" w:hAnsi="Arial" w:cs="Arial"/>
          <w:b/>
          <w:bCs/>
          <w:sz w:val="22"/>
          <w:szCs w:val="22"/>
          <w:highlight w:val="white"/>
        </w:rPr>
      </w:pPr>
      <w:r>
        <w:rPr>
          <w:rFonts w:ascii="Arial" w:eastAsia="Arial" w:hAnsi="Arial" w:cs="Arial"/>
          <w:b/>
          <w:bCs/>
          <w:sz w:val="22"/>
          <w:szCs w:val="22"/>
          <w:highlight w:val="white"/>
        </w:rPr>
        <w:t>Graduación de la sanción.</w:t>
      </w:r>
    </w:p>
    <w:p w14:paraId="30B4637F" w14:textId="77777777" w:rsidR="003F4480" w:rsidRDefault="003F4480">
      <w:pPr>
        <w:jc w:val="both"/>
        <w:rPr>
          <w:rFonts w:ascii="Arial" w:eastAsia="Arial" w:hAnsi="Arial" w:cs="Arial"/>
          <w:sz w:val="22"/>
          <w:szCs w:val="22"/>
          <w:highlight w:val="white"/>
        </w:rPr>
      </w:pPr>
    </w:p>
    <w:p w14:paraId="1359D71B" w14:textId="77777777" w:rsidR="003F4480" w:rsidRDefault="00376F26">
      <w:pPr>
        <w:jc w:val="both"/>
        <w:rPr>
          <w:rFonts w:ascii="Arial" w:eastAsia="Arial" w:hAnsi="Arial" w:cs="Arial"/>
          <w:sz w:val="22"/>
          <w:szCs w:val="22"/>
          <w:highlight w:val="white"/>
        </w:rPr>
      </w:pPr>
      <w:r>
        <w:rPr>
          <w:rFonts w:ascii="Arial" w:eastAsia="Arial" w:hAnsi="Arial" w:cs="Arial"/>
          <w:sz w:val="22"/>
          <w:szCs w:val="22"/>
          <w:highlight w:val="white"/>
        </w:rPr>
        <w:t>El parámetro fundamental para la graduación de las multas es el carácter leve, grave o gravísimo que se le asigna a las afectaciones dentro del trámite de la actuación, conforme a las definiciones del artículo 112 del Decreto Distrital 653 de 2025. Estas tres categorías modulan la infracción al derecho a la vivienda digna como máximo bien jurídico tutelado dentro de las actuaciones por deficiencias constructivas y/o desmejoramientos de especificaciones técnicas que adelanta esta Dirección.</w:t>
      </w:r>
    </w:p>
    <w:p w14:paraId="789DE3B9" w14:textId="77777777" w:rsidR="003F4480" w:rsidRDefault="003F4480">
      <w:pPr>
        <w:jc w:val="both"/>
        <w:rPr>
          <w:rFonts w:ascii="Arial" w:eastAsia="Arial" w:hAnsi="Arial" w:cs="Arial"/>
          <w:sz w:val="22"/>
          <w:szCs w:val="22"/>
          <w:highlight w:val="white"/>
        </w:rPr>
      </w:pPr>
    </w:p>
    <w:p w14:paraId="5C3623E5" w14:textId="77777777" w:rsidR="003F4480" w:rsidRDefault="00376F26">
      <w:pPr>
        <w:jc w:val="both"/>
        <w:rPr>
          <w:rFonts w:ascii="Arial" w:eastAsia="Arial" w:hAnsi="Arial" w:cs="Arial"/>
          <w:sz w:val="22"/>
          <w:szCs w:val="22"/>
        </w:rPr>
      </w:pPr>
      <w:r>
        <w:rPr>
          <w:rFonts w:ascii="Arial" w:eastAsia="Arial" w:hAnsi="Arial" w:cs="Arial"/>
          <w:sz w:val="22"/>
          <w:szCs w:val="22"/>
          <w:highlight w:val="white"/>
        </w:rPr>
        <w:t xml:space="preserve">Dicha categorización apunta a diferenciar si se vulneran las condiciones de habitabilidad o de uso de la vivienda o sus condiciones estructurales, por tanto, constituyen el marco para la aplicación de los principios de razonabilidad y proporcionalidad en la motivación de la multa. En el presente caso se determinó que las afectaciones son de carácter grave, como se evidencia en el artículo segundo de la </w:t>
      </w:r>
      <w:r>
        <w:rPr>
          <w:rFonts w:ascii="Arial" w:eastAsia="Arial" w:hAnsi="Arial" w:cs="Arial"/>
          <w:sz w:val="22"/>
          <w:szCs w:val="22"/>
        </w:rPr>
        <w:t>Resolución No. 3099 del 20 de diciembre de 2022.</w:t>
      </w:r>
    </w:p>
    <w:p w14:paraId="240BF36A" w14:textId="77777777" w:rsidR="003F4480" w:rsidRDefault="003F4480">
      <w:pPr>
        <w:jc w:val="both"/>
        <w:rPr>
          <w:rFonts w:ascii="Arial" w:eastAsia="Arial" w:hAnsi="Arial" w:cs="Arial"/>
          <w:sz w:val="22"/>
          <w:szCs w:val="22"/>
        </w:rPr>
      </w:pPr>
    </w:p>
    <w:p w14:paraId="79860092" w14:textId="77777777" w:rsidR="003F4480" w:rsidRDefault="00376F26">
      <w:pPr>
        <w:jc w:val="both"/>
        <w:rPr>
          <w:rFonts w:ascii="Arial" w:eastAsia="Arial" w:hAnsi="Arial" w:cs="Arial"/>
          <w:sz w:val="22"/>
          <w:szCs w:val="22"/>
          <w:highlight w:val="white"/>
        </w:rPr>
      </w:pPr>
      <w:r>
        <w:rPr>
          <w:rFonts w:ascii="Arial" w:eastAsia="Arial" w:hAnsi="Arial" w:cs="Arial"/>
          <w:sz w:val="22"/>
          <w:szCs w:val="22"/>
          <w:highlight w:val="white"/>
        </w:rPr>
        <w:t>Es por ello por lo que esta Dirección gradúa las multas que impone, cuando hay lugar a ello, atendiendo los criterios establecidos en el artículo 50 del Código de Procedimiento Administrativo y de lo Contencioso Administrativo, que se logren establecer en la actuación administrativa.</w:t>
      </w:r>
    </w:p>
    <w:p w14:paraId="24D0E3CA" w14:textId="77777777" w:rsidR="003F4480" w:rsidRDefault="003F4480">
      <w:pPr>
        <w:ind w:right="567"/>
        <w:jc w:val="both"/>
        <w:rPr>
          <w:rFonts w:ascii="Arial" w:eastAsia="Arial" w:hAnsi="Arial" w:cs="Arial"/>
          <w:i/>
          <w:iCs/>
          <w:sz w:val="22"/>
          <w:szCs w:val="22"/>
        </w:rPr>
      </w:pPr>
    </w:p>
    <w:p w14:paraId="7CBF94DF" w14:textId="77777777" w:rsidR="003F4480" w:rsidRDefault="00376F26">
      <w:pPr>
        <w:tabs>
          <w:tab w:val="left" w:pos="284"/>
        </w:tabs>
        <w:jc w:val="both"/>
        <w:rPr>
          <w:rFonts w:ascii="Arial" w:eastAsia="Arial" w:hAnsi="Arial" w:cs="Arial"/>
          <w:sz w:val="22"/>
          <w:szCs w:val="22"/>
        </w:rPr>
      </w:pPr>
      <w:r>
        <w:rPr>
          <w:rFonts w:ascii="Arial" w:eastAsia="Arial" w:hAnsi="Arial" w:cs="Arial"/>
          <w:sz w:val="22"/>
          <w:szCs w:val="22"/>
        </w:rPr>
        <w:lastRenderedPageBreak/>
        <w:t>Así las cosas, el artículo 50 de la Ley 1437 de 2011 establece que, en la determinación de la gravedad de la falta y el rigor de la sanción se han de considerar los criterios expresamente previstos allí.</w:t>
      </w:r>
    </w:p>
    <w:p w14:paraId="5CBF1CB5" w14:textId="77777777" w:rsidR="003F4480" w:rsidRDefault="003F4480">
      <w:pPr>
        <w:jc w:val="both"/>
        <w:rPr>
          <w:rFonts w:ascii="Arial" w:eastAsia="Arial" w:hAnsi="Arial" w:cs="Arial"/>
          <w:sz w:val="22"/>
          <w:szCs w:val="22"/>
        </w:rPr>
      </w:pPr>
    </w:p>
    <w:p w14:paraId="2ABD2299" w14:textId="77777777" w:rsidR="003F4480" w:rsidRDefault="00376F26">
      <w:pPr>
        <w:tabs>
          <w:tab w:val="left" w:pos="284"/>
        </w:tabs>
        <w:jc w:val="both"/>
        <w:rPr>
          <w:rFonts w:ascii="Arial" w:eastAsia="Arial" w:hAnsi="Arial" w:cs="Arial"/>
          <w:sz w:val="22"/>
          <w:szCs w:val="22"/>
        </w:rPr>
      </w:pPr>
      <w:r>
        <w:rPr>
          <w:rFonts w:ascii="Arial" w:eastAsia="Arial" w:hAnsi="Arial" w:cs="Arial"/>
          <w:sz w:val="22"/>
          <w:szCs w:val="22"/>
        </w:rPr>
        <w:t>Bajo las anteriores consideraciones, una vez evaluada la conducta objeto de reproche desde sus diferentes dimensiones y teniendo en cuenta los criterios normativos señalados, a los cuales se encuentra sujeta la discrecionalidad de la administración, esta Dirección iniciará la definición de la sanción que resulte necesario imponer, frente a la conducta desplegada por parte de la sociedad enajenadora investigada a saber:</w:t>
      </w:r>
    </w:p>
    <w:p w14:paraId="34E50F11" w14:textId="77777777" w:rsidR="003F4480" w:rsidRDefault="003F4480">
      <w:pPr>
        <w:pBdr>
          <w:top w:val="nil"/>
          <w:left w:val="nil"/>
          <w:bottom w:val="nil"/>
          <w:right w:val="nil"/>
          <w:between w:val="nil"/>
        </w:pBdr>
        <w:tabs>
          <w:tab w:val="left" w:pos="284"/>
        </w:tabs>
        <w:jc w:val="both"/>
        <w:rPr>
          <w:rFonts w:ascii="Arial" w:eastAsia="Arial" w:hAnsi="Arial" w:cs="Arial"/>
          <w:b/>
          <w:bCs/>
          <w:color w:val="000000"/>
          <w:sz w:val="22"/>
          <w:szCs w:val="22"/>
        </w:rPr>
      </w:pPr>
    </w:p>
    <w:p w14:paraId="527FBD97" w14:textId="77777777" w:rsidR="003F4480" w:rsidRDefault="00376F26">
      <w:pPr>
        <w:pBdr>
          <w:top w:val="nil"/>
          <w:left w:val="nil"/>
          <w:bottom w:val="nil"/>
          <w:right w:val="nil"/>
          <w:between w:val="nil"/>
        </w:pBdr>
        <w:tabs>
          <w:tab w:val="left" w:pos="284"/>
        </w:tabs>
        <w:jc w:val="both"/>
        <w:rPr>
          <w:rFonts w:ascii="Arial" w:eastAsia="Arial" w:hAnsi="Arial" w:cs="Arial"/>
          <w:color w:val="000000"/>
          <w:sz w:val="22"/>
          <w:szCs w:val="22"/>
        </w:rPr>
      </w:pPr>
      <w:r>
        <w:rPr>
          <w:rFonts w:ascii="Arial" w:eastAsia="Arial" w:hAnsi="Arial" w:cs="Arial"/>
          <w:b/>
          <w:bCs/>
          <w:color w:val="000000"/>
          <w:sz w:val="22"/>
          <w:szCs w:val="22"/>
        </w:rPr>
        <w:t>Daño o peligro generado a los intereses jurídicos tutelados:</w:t>
      </w:r>
      <w:r>
        <w:rPr>
          <w:rFonts w:ascii="Arial" w:eastAsia="Arial" w:hAnsi="Arial" w:cs="Arial"/>
          <w:color w:val="000000"/>
          <w:sz w:val="22"/>
          <w:szCs w:val="22"/>
        </w:rPr>
        <w:t xml:space="preserve"> Este criterio alude bien a que se produzca un daño al interés jurídico protegido por la norma infringida, o a que simplemente se ponga en peligro. </w:t>
      </w:r>
    </w:p>
    <w:p w14:paraId="09992F76" w14:textId="77777777" w:rsidR="003F4480" w:rsidRDefault="003F4480">
      <w:pPr>
        <w:pBdr>
          <w:top w:val="nil"/>
          <w:left w:val="nil"/>
          <w:bottom w:val="nil"/>
          <w:right w:val="nil"/>
          <w:between w:val="nil"/>
        </w:pBdr>
        <w:tabs>
          <w:tab w:val="left" w:pos="284"/>
        </w:tabs>
        <w:jc w:val="both"/>
        <w:rPr>
          <w:rFonts w:ascii="Arial" w:eastAsia="Arial" w:hAnsi="Arial" w:cs="Arial"/>
          <w:color w:val="000000"/>
          <w:sz w:val="22"/>
          <w:szCs w:val="22"/>
        </w:rPr>
      </w:pPr>
    </w:p>
    <w:p w14:paraId="54BE8108" w14:textId="77777777" w:rsidR="003F4480" w:rsidRDefault="00376F26">
      <w:pPr>
        <w:jc w:val="both"/>
        <w:rPr>
          <w:rFonts w:ascii="Arial" w:eastAsia="Arial" w:hAnsi="Arial" w:cs="Arial"/>
          <w:sz w:val="22"/>
          <w:szCs w:val="22"/>
        </w:rPr>
      </w:pPr>
      <w:r>
        <w:rPr>
          <w:rFonts w:ascii="Arial" w:eastAsia="Arial" w:hAnsi="Arial" w:cs="Arial"/>
          <w:sz w:val="22"/>
          <w:szCs w:val="22"/>
        </w:rPr>
        <w:t>E</w:t>
      </w:r>
      <w:r>
        <w:rPr>
          <w:rFonts w:ascii="Arial" w:eastAsia="Arial" w:hAnsi="Arial" w:cs="Arial"/>
          <w:sz w:val="22"/>
          <w:szCs w:val="22"/>
          <w:highlight w:val="white"/>
        </w:rPr>
        <w:t>n este caso se evidencia que la sociedad enajenadora no ha dado cumplimiento a las órdenes de hacer, aun cuando es de su conocimiento que contaba con el término de seis (6) meses para realizar los trabajos tendientes a solucionar en forma definitiva los hechos objeto de sanción</w:t>
      </w:r>
      <w:r>
        <w:rPr>
          <w:rFonts w:ascii="Arial" w:eastAsia="Arial" w:hAnsi="Arial" w:cs="Arial"/>
          <w:sz w:val="22"/>
          <w:szCs w:val="22"/>
        </w:rPr>
        <w:t>.</w:t>
      </w:r>
    </w:p>
    <w:p w14:paraId="2B68EE78" w14:textId="77777777" w:rsidR="003F4480" w:rsidRDefault="00376F26">
      <w:pPr>
        <w:jc w:val="both"/>
        <w:rPr>
          <w:rFonts w:ascii="Arial" w:eastAsia="Arial" w:hAnsi="Arial" w:cs="Arial"/>
          <w:sz w:val="22"/>
          <w:szCs w:val="22"/>
          <w:highlight w:val="white"/>
        </w:rPr>
      </w:pPr>
      <w:r>
        <w:rPr>
          <w:rFonts w:ascii="Arial" w:eastAsia="Arial" w:hAnsi="Arial" w:cs="Arial"/>
          <w:sz w:val="22"/>
          <w:szCs w:val="22"/>
        </w:rPr>
        <w:tab/>
      </w:r>
      <w:r>
        <w:rPr>
          <w:rFonts w:ascii="Arial" w:eastAsia="Arial" w:hAnsi="Arial" w:cs="Arial"/>
          <w:sz w:val="22"/>
          <w:szCs w:val="22"/>
          <w:highlight w:val="white"/>
        </w:rPr>
        <w:t xml:space="preserve"> </w:t>
      </w:r>
    </w:p>
    <w:p w14:paraId="73912DE9" w14:textId="77777777" w:rsidR="003F4480" w:rsidRDefault="00376F26">
      <w:pPr>
        <w:jc w:val="both"/>
        <w:rPr>
          <w:rFonts w:ascii="Arial" w:eastAsia="Arial" w:hAnsi="Arial" w:cs="Arial"/>
          <w:color w:val="FF9900"/>
          <w:sz w:val="22"/>
          <w:szCs w:val="22"/>
        </w:rPr>
      </w:pPr>
      <w:r>
        <w:rPr>
          <w:rFonts w:ascii="Arial" w:eastAsia="Arial" w:hAnsi="Arial" w:cs="Arial"/>
          <w:sz w:val="22"/>
          <w:szCs w:val="22"/>
        </w:rPr>
        <w:t>Por lo anterior, este criterio resulta aplicable al caso concreto, razón por la cual se tendrá en cuenta para la graduación de la sanción que resulte procedente de acuerdo con los cargos endilgados en la Resolución No. 3099 del 20 de diciembre de 2022.</w:t>
      </w:r>
    </w:p>
    <w:p w14:paraId="239B25F4" w14:textId="77777777" w:rsidR="003F4480" w:rsidRDefault="003F4480">
      <w:pPr>
        <w:jc w:val="both"/>
        <w:rPr>
          <w:rFonts w:ascii="Arial" w:eastAsia="Arial" w:hAnsi="Arial" w:cs="Arial"/>
          <w:color w:val="FF9900"/>
          <w:sz w:val="22"/>
          <w:szCs w:val="22"/>
        </w:rPr>
      </w:pPr>
    </w:p>
    <w:p w14:paraId="120BC11C" w14:textId="77777777" w:rsidR="003F4480" w:rsidRDefault="00376F26">
      <w:pPr>
        <w:jc w:val="both"/>
        <w:rPr>
          <w:rFonts w:ascii="Arial" w:eastAsia="Arial" w:hAnsi="Arial" w:cs="Arial"/>
          <w:b/>
          <w:bCs/>
          <w:sz w:val="22"/>
          <w:szCs w:val="22"/>
        </w:rPr>
      </w:pPr>
      <w:r>
        <w:rPr>
          <w:rFonts w:ascii="Arial" w:eastAsia="Arial" w:hAnsi="Arial" w:cs="Arial"/>
          <w:b/>
          <w:bCs/>
          <w:sz w:val="22"/>
          <w:szCs w:val="22"/>
        </w:rPr>
        <w:t xml:space="preserve">Beneficio económico por el infractor para sí o a favor de un tercero: </w:t>
      </w:r>
      <w:r>
        <w:rPr>
          <w:rFonts w:ascii="Arial" w:eastAsia="Arial" w:hAnsi="Arial" w:cs="Arial"/>
          <w:sz w:val="22"/>
          <w:szCs w:val="22"/>
        </w:rPr>
        <w:t>No se observa en el desarrollo de la presente actuación administrativa de seguimiento que la sociedad enajenadora CONINSA S.A.S, obtuviera,</w:t>
      </w:r>
      <w:r>
        <w:rPr>
          <w:rFonts w:ascii="Arial" w:eastAsia="Arial" w:hAnsi="Arial" w:cs="Arial"/>
          <w:b/>
          <w:bCs/>
          <w:sz w:val="22"/>
          <w:szCs w:val="22"/>
        </w:rPr>
        <w:t xml:space="preserve"> </w:t>
      </w:r>
      <w:r>
        <w:rPr>
          <w:rFonts w:ascii="Arial" w:eastAsia="Arial" w:hAnsi="Arial" w:cs="Arial"/>
          <w:sz w:val="22"/>
          <w:szCs w:val="22"/>
        </w:rPr>
        <w:t>para sí</w:t>
      </w:r>
      <w:r>
        <w:rPr>
          <w:rFonts w:ascii="Arial" w:eastAsia="Arial" w:hAnsi="Arial" w:cs="Arial"/>
          <w:b/>
          <w:bCs/>
          <w:sz w:val="22"/>
          <w:szCs w:val="22"/>
        </w:rPr>
        <w:t xml:space="preserve"> </w:t>
      </w:r>
      <w:r>
        <w:rPr>
          <w:rFonts w:ascii="Arial" w:eastAsia="Arial" w:hAnsi="Arial" w:cs="Arial"/>
          <w:sz w:val="22"/>
          <w:szCs w:val="22"/>
        </w:rPr>
        <w:t>o en favor de un tercero,</w:t>
      </w:r>
      <w:r>
        <w:rPr>
          <w:rFonts w:ascii="Arial" w:eastAsia="Arial" w:hAnsi="Arial" w:cs="Arial"/>
          <w:b/>
          <w:bCs/>
          <w:sz w:val="22"/>
          <w:szCs w:val="22"/>
        </w:rPr>
        <w:t xml:space="preserve"> </w:t>
      </w:r>
      <w:r>
        <w:rPr>
          <w:rFonts w:ascii="Arial" w:eastAsia="Arial" w:hAnsi="Arial" w:cs="Arial"/>
          <w:sz w:val="22"/>
          <w:szCs w:val="22"/>
        </w:rPr>
        <w:t xml:space="preserve">algún beneficio económico en la presente investigación, por lo que este criterio no resulta aplicable para graduar la sanción a imponer. </w:t>
      </w:r>
    </w:p>
    <w:p w14:paraId="67FBFCE0" w14:textId="77777777" w:rsidR="003F4480" w:rsidRDefault="003F4480">
      <w:pPr>
        <w:jc w:val="both"/>
        <w:rPr>
          <w:rFonts w:ascii="Arial" w:eastAsia="Arial" w:hAnsi="Arial" w:cs="Arial"/>
          <w:sz w:val="22"/>
          <w:szCs w:val="22"/>
        </w:rPr>
      </w:pPr>
    </w:p>
    <w:p w14:paraId="492115EF" w14:textId="39D7CAD0" w:rsidR="003F4480" w:rsidRDefault="00376F26">
      <w:pPr>
        <w:jc w:val="both"/>
        <w:rPr>
          <w:rFonts w:ascii="Arial" w:eastAsia="Arial" w:hAnsi="Arial" w:cs="Arial"/>
          <w:sz w:val="22"/>
          <w:szCs w:val="22"/>
        </w:rPr>
      </w:pPr>
      <w:r>
        <w:rPr>
          <w:rFonts w:ascii="Arial" w:eastAsia="Arial" w:hAnsi="Arial" w:cs="Arial"/>
          <w:b/>
          <w:bCs/>
          <w:sz w:val="22"/>
          <w:szCs w:val="22"/>
        </w:rPr>
        <w:t>Reincidencia:</w:t>
      </w:r>
      <w:r>
        <w:rPr>
          <w:rFonts w:ascii="Arial" w:eastAsia="Arial" w:hAnsi="Arial" w:cs="Arial"/>
          <w:sz w:val="22"/>
          <w:szCs w:val="22"/>
        </w:rPr>
        <w:t xml:space="preserve"> Consultado el expediente, se evidencia que la sociedad enajenadora CONINSA S.A.S</w:t>
      </w:r>
      <w:r>
        <w:rPr>
          <w:rFonts w:ascii="Arial" w:eastAsia="Arial" w:hAnsi="Arial" w:cs="Arial"/>
          <w:b/>
          <w:bCs/>
          <w:sz w:val="22"/>
          <w:szCs w:val="22"/>
        </w:rPr>
        <w:t>,</w:t>
      </w:r>
      <w:r>
        <w:rPr>
          <w:rFonts w:ascii="Arial" w:eastAsia="Arial" w:hAnsi="Arial" w:cs="Arial"/>
          <w:sz w:val="22"/>
          <w:szCs w:val="22"/>
        </w:rPr>
        <w:t xml:space="preserve"> no ha sido objeto de multas sucesivas por estos mismos hechos</w:t>
      </w:r>
      <w:r w:rsidR="00E94A3A">
        <w:rPr>
          <w:rFonts w:ascii="Arial" w:eastAsia="Arial" w:hAnsi="Arial" w:cs="Arial"/>
          <w:sz w:val="22"/>
          <w:szCs w:val="22"/>
        </w:rPr>
        <w:t xml:space="preserve"> ya que tal solo se evidencia 3099 del 20 de diciembre de 2022, "</w:t>
      </w:r>
      <w:r w:rsidR="00E94A3A">
        <w:rPr>
          <w:rFonts w:ascii="Arial" w:eastAsia="Arial" w:hAnsi="Arial" w:cs="Arial"/>
          <w:i/>
          <w:iCs/>
          <w:sz w:val="22"/>
          <w:szCs w:val="22"/>
        </w:rPr>
        <w:t>Por la cual se impone una sanción y se imparte una orden</w:t>
      </w:r>
      <w:r w:rsidR="00E94A3A">
        <w:rPr>
          <w:rFonts w:ascii="Arial" w:eastAsia="Arial" w:hAnsi="Arial" w:cs="Arial"/>
          <w:sz w:val="22"/>
          <w:szCs w:val="22"/>
        </w:rPr>
        <w:t>"</w:t>
      </w:r>
    </w:p>
    <w:p w14:paraId="155355A2" w14:textId="77777777" w:rsidR="003F4480" w:rsidRDefault="003F4480">
      <w:pPr>
        <w:jc w:val="both"/>
        <w:rPr>
          <w:rFonts w:ascii="Arial" w:eastAsia="Arial" w:hAnsi="Arial" w:cs="Arial"/>
          <w:sz w:val="22"/>
          <w:szCs w:val="22"/>
        </w:rPr>
      </w:pPr>
    </w:p>
    <w:p w14:paraId="3908D93B" w14:textId="77777777" w:rsidR="003F4480" w:rsidRDefault="00376F26">
      <w:pPr>
        <w:jc w:val="both"/>
        <w:rPr>
          <w:rFonts w:ascii="Arial" w:eastAsia="Arial" w:hAnsi="Arial" w:cs="Arial"/>
          <w:b/>
          <w:bCs/>
          <w:sz w:val="22"/>
          <w:szCs w:val="22"/>
        </w:rPr>
      </w:pPr>
      <w:r>
        <w:rPr>
          <w:rFonts w:ascii="Arial" w:eastAsia="Arial" w:hAnsi="Arial" w:cs="Arial"/>
          <w:b/>
          <w:bCs/>
          <w:sz w:val="22"/>
          <w:szCs w:val="22"/>
        </w:rPr>
        <w:t xml:space="preserve">Resistencia, negativa u obstrucción a la acción investigadora o de supervisión: </w:t>
      </w:r>
      <w:r>
        <w:rPr>
          <w:rFonts w:ascii="Arial" w:eastAsia="Arial" w:hAnsi="Arial" w:cs="Arial"/>
          <w:sz w:val="22"/>
          <w:szCs w:val="22"/>
        </w:rPr>
        <w:t>No se observa en el desarrollo de la actuación administrativa de seguimiento que la sociedad enajenadora CONINSA S.A.S</w:t>
      </w:r>
      <w:r>
        <w:rPr>
          <w:rFonts w:ascii="Arial" w:eastAsia="Arial" w:hAnsi="Arial" w:cs="Arial"/>
          <w:b/>
          <w:bCs/>
          <w:sz w:val="22"/>
          <w:szCs w:val="22"/>
        </w:rPr>
        <w:t>,</w:t>
      </w:r>
      <w:r>
        <w:rPr>
          <w:rFonts w:ascii="Arial" w:eastAsia="Arial" w:hAnsi="Arial" w:cs="Arial"/>
          <w:sz w:val="22"/>
          <w:szCs w:val="22"/>
        </w:rPr>
        <w:t xml:space="preserve"> incurriera en alguna conducta que implica resistencia o que obstruyera el desarrollo de la presente investigación, por lo que este criterio no resulta aplicable para graduar la sanción a imponer.</w:t>
      </w:r>
    </w:p>
    <w:p w14:paraId="23827AD0" w14:textId="77777777" w:rsidR="003F4480" w:rsidRDefault="003F4480">
      <w:pPr>
        <w:jc w:val="both"/>
        <w:rPr>
          <w:rFonts w:ascii="Arial" w:eastAsia="Arial" w:hAnsi="Arial" w:cs="Arial"/>
          <w:b/>
          <w:bCs/>
          <w:sz w:val="22"/>
          <w:szCs w:val="22"/>
        </w:rPr>
      </w:pPr>
    </w:p>
    <w:p w14:paraId="5FAE30E3" w14:textId="77777777" w:rsidR="003F4480" w:rsidRDefault="00376F26">
      <w:pPr>
        <w:jc w:val="both"/>
        <w:rPr>
          <w:rFonts w:ascii="Arial" w:eastAsia="Arial" w:hAnsi="Arial" w:cs="Arial"/>
          <w:b/>
          <w:bCs/>
          <w:sz w:val="22"/>
          <w:szCs w:val="22"/>
        </w:rPr>
      </w:pPr>
      <w:r>
        <w:rPr>
          <w:rFonts w:ascii="Arial" w:eastAsia="Arial" w:hAnsi="Arial" w:cs="Arial"/>
          <w:b/>
          <w:bCs/>
          <w:sz w:val="22"/>
          <w:szCs w:val="22"/>
        </w:rPr>
        <w:t>Utilización de medios fraudulentos o utilización de persona interpuesta para ocultar la infracción u ocultar sus efectos:</w:t>
      </w:r>
      <w:r>
        <w:rPr>
          <w:rFonts w:ascii="Arial" w:eastAsia="Arial" w:hAnsi="Arial" w:cs="Arial"/>
          <w:sz w:val="22"/>
          <w:szCs w:val="22"/>
        </w:rPr>
        <w:t xml:space="preserve"> No se evidenció que la sociedad enajenadora</w:t>
      </w:r>
      <w:r>
        <w:rPr>
          <w:rFonts w:ascii="Arial" w:eastAsia="Arial" w:hAnsi="Arial" w:cs="Arial"/>
          <w:sz w:val="24"/>
          <w:szCs w:val="24"/>
          <w:highlight w:val="white"/>
        </w:rPr>
        <w:t xml:space="preserve"> </w:t>
      </w:r>
      <w:r>
        <w:rPr>
          <w:rFonts w:ascii="Arial" w:eastAsia="Arial" w:hAnsi="Arial" w:cs="Arial"/>
          <w:sz w:val="22"/>
          <w:szCs w:val="22"/>
        </w:rPr>
        <w:t xml:space="preserve">CONINSA S.A.S, haya propiciado o utilizado alguna maniobra fraudulenta para ocultar la </w:t>
      </w:r>
      <w:r>
        <w:rPr>
          <w:rFonts w:ascii="Arial" w:eastAsia="Arial" w:hAnsi="Arial" w:cs="Arial"/>
          <w:sz w:val="22"/>
          <w:szCs w:val="22"/>
        </w:rPr>
        <w:lastRenderedPageBreak/>
        <w:t>comisión y consecuencias de la infracción que se le imputó, por lo que este criterio no resulta aplicable para graduar la sanción a imponer.</w:t>
      </w:r>
    </w:p>
    <w:p w14:paraId="38965E90" w14:textId="77777777" w:rsidR="003F4480" w:rsidRDefault="003F4480">
      <w:pPr>
        <w:jc w:val="both"/>
        <w:rPr>
          <w:rFonts w:ascii="Arial" w:eastAsia="Arial" w:hAnsi="Arial" w:cs="Arial"/>
          <w:sz w:val="22"/>
          <w:szCs w:val="22"/>
        </w:rPr>
      </w:pPr>
    </w:p>
    <w:p w14:paraId="7BB69BF1" w14:textId="77777777" w:rsidR="003F4480" w:rsidRDefault="00376F26">
      <w:pPr>
        <w:jc w:val="both"/>
        <w:rPr>
          <w:rFonts w:ascii="Arial" w:eastAsia="Arial" w:hAnsi="Arial" w:cs="Arial"/>
          <w:sz w:val="22"/>
          <w:szCs w:val="22"/>
        </w:rPr>
      </w:pPr>
      <w:r>
        <w:rPr>
          <w:rFonts w:ascii="Arial" w:eastAsia="Arial" w:hAnsi="Arial" w:cs="Arial"/>
          <w:b/>
          <w:bCs/>
          <w:sz w:val="22"/>
          <w:szCs w:val="22"/>
        </w:rPr>
        <w:t xml:space="preserve">Grado de prudencia y diligencia con que se hayan atendido los deberes o se hayan aplicado las normas legales pertinentes: </w:t>
      </w:r>
      <w:r>
        <w:rPr>
          <w:rFonts w:ascii="Arial" w:eastAsia="Arial" w:hAnsi="Arial" w:cs="Arial"/>
          <w:sz w:val="22"/>
          <w:szCs w:val="22"/>
        </w:rPr>
        <w:t xml:space="preserve">Este Despacho considera que el incumplimiento reglamentario en que incurrió la sociedad enajenadora conlleva a la vulneración concreta de obligaciones, y/o prohibiciones previamente conocidas y adquiridas a partir de la voluntaria decisión de desarrollar actividades de enajenación de vivienda urbana en el Distrito Capital, situación que acarrean la observancia de tales aspectos. </w:t>
      </w:r>
    </w:p>
    <w:p w14:paraId="27896064" w14:textId="77777777" w:rsidR="003F4480" w:rsidRDefault="003F4480">
      <w:pPr>
        <w:jc w:val="both"/>
        <w:rPr>
          <w:rFonts w:ascii="Arial" w:eastAsia="Arial" w:hAnsi="Arial" w:cs="Arial"/>
          <w:sz w:val="22"/>
          <w:szCs w:val="22"/>
        </w:rPr>
      </w:pPr>
    </w:p>
    <w:p w14:paraId="5C43AF46" w14:textId="77777777" w:rsidR="003F4480" w:rsidRDefault="00376F26">
      <w:pPr>
        <w:jc w:val="both"/>
        <w:rPr>
          <w:rFonts w:ascii="Arial" w:eastAsia="Arial" w:hAnsi="Arial" w:cs="Arial"/>
          <w:sz w:val="22"/>
          <w:szCs w:val="22"/>
        </w:rPr>
      </w:pPr>
      <w:r>
        <w:rPr>
          <w:rFonts w:ascii="Arial" w:eastAsia="Arial" w:hAnsi="Arial" w:cs="Arial"/>
          <w:sz w:val="22"/>
          <w:szCs w:val="22"/>
        </w:rPr>
        <w:t>Bajo este entendido, se hace necesario resaltar, que en la presente actuación administrativa de seguimiento se evidenció que la sociedad enajenadora CONINSA S.A.S no logró demostrar un grado de prudencia y diligencia con el que se hayan atendido los deberes, en tanto no allegó prueba que demuestre actividades encaminadas a la subsanación de los hechos establecidos en la Resolución No. 3099 del 20 de diciembre de 2022.</w:t>
      </w:r>
    </w:p>
    <w:p w14:paraId="2BA7ED31" w14:textId="77777777" w:rsidR="003F4480" w:rsidRDefault="003F4480">
      <w:pPr>
        <w:jc w:val="both"/>
        <w:rPr>
          <w:rFonts w:ascii="Arial" w:eastAsia="Arial" w:hAnsi="Arial" w:cs="Arial"/>
          <w:sz w:val="22"/>
          <w:szCs w:val="22"/>
        </w:rPr>
      </w:pPr>
    </w:p>
    <w:p w14:paraId="644345B1" w14:textId="77777777" w:rsidR="003F4480" w:rsidRDefault="00376F26">
      <w:pPr>
        <w:jc w:val="both"/>
        <w:rPr>
          <w:rFonts w:ascii="Arial" w:eastAsia="Arial" w:hAnsi="Arial" w:cs="Arial"/>
          <w:sz w:val="22"/>
          <w:szCs w:val="22"/>
        </w:rPr>
      </w:pPr>
      <w:r>
        <w:rPr>
          <w:rFonts w:ascii="Arial" w:eastAsia="Arial" w:hAnsi="Arial" w:cs="Arial"/>
          <w:b/>
          <w:bCs/>
          <w:sz w:val="22"/>
          <w:szCs w:val="22"/>
        </w:rPr>
        <w:t>Renuencia o desacato en el cumplimiento de las órdenes impartidas por la autoridad competente:</w:t>
      </w:r>
      <w:r>
        <w:rPr>
          <w:rFonts w:ascii="Arial" w:eastAsia="Arial" w:hAnsi="Arial" w:cs="Arial"/>
          <w:sz w:val="22"/>
          <w:szCs w:val="22"/>
        </w:rPr>
        <w:t xml:space="preserve"> En el curso de la actuación administrativa de seguimiento se evidencia que la sociedad enajenadora CONINSA S.A.S, ha incumplido la orden de hacer impuesta en la Resolución No. 3099 del 20 de diciembre de 2022, impartida por este Despacho, razón por la cual, la acá sancionado se encuentra inmersa en esta conducta.</w:t>
      </w:r>
    </w:p>
    <w:p w14:paraId="03D58FCA" w14:textId="77777777" w:rsidR="003F4480" w:rsidRDefault="003F4480">
      <w:pPr>
        <w:jc w:val="both"/>
        <w:rPr>
          <w:rFonts w:ascii="Arial" w:eastAsia="Arial" w:hAnsi="Arial" w:cs="Arial"/>
          <w:sz w:val="22"/>
          <w:szCs w:val="22"/>
        </w:rPr>
      </w:pPr>
    </w:p>
    <w:p w14:paraId="32F9EEDB" w14:textId="77777777" w:rsidR="003F4480" w:rsidRDefault="00376F26">
      <w:pPr>
        <w:jc w:val="both"/>
        <w:rPr>
          <w:rFonts w:ascii="Arial" w:eastAsia="Arial" w:hAnsi="Arial" w:cs="Arial"/>
          <w:sz w:val="22"/>
          <w:szCs w:val="22"/>
        </w:rPr>
      </w:pPr>
      <w:r>
        <w:rPr>
          <w:rFonts w:ascii="Arial" w:eastAsia="Arial" w:hAnsi="Arial" w:cs="Arial"/>
          <w:b/>
          <w:bCs/>
          <w:sz w:val="22"/>
          <w:szCs w:val="22"/>
        </w:rPr>
        <w:t>Reconocimiento o aceptación expresa de la infracción antes del decreto de pruebas</w:t>
      </w:r>
      <w:r>
        <w:rPr>
          <w:rFonts w:ascii="Arial" w:eastAsia="Arial" w:hAnsi="Arial" w:cs="Arial"/>
          <w:sz w:val="22"/>
          <w:szCs w:val="22"/>
        </w:rPr>
        <w:t>: En el curso de la presente actuación administrativa de seguimiento la citada conducta ya fue valorada en la etapa procesal correspondiente a la investigación que culminó con la orden de hacer contenida en la Resolución No. 3099 del 20 de diciembre de 2022, razón por la cual, este criterio no resulta aplicable en la presente instancia.</w:t>
      </w:r>
    </w:p>
    <w:p w14:paraId="394D236C" w14:textId="77777777" w:rsidR="003F4480" w:rsidRDefault="003F4480">
      <w:pPr>
        <w:jc w:val="both"/>
        <w:rPr>
          <w:rFonts w:ascii="Arial" w:eastAsia="Arial" w:hAnsi="Arial" w:cs="Arial"/>
          <w:sz w:val="22"/>
          <w:szCs w:val="22"/>
          <w:highlight w:val="white"/>
        </w:rPr>
      </w:pPr>
    </w:p>
    <w:p w14:paraId="5F54B43C" w14:textId="77777777" w:rsidR="003F4480" w:rsidRDefault="00376F26">
      <w:pPr>
        <w:jc w:val="both"/>
        <w:rPr>
          <w:rFonts w:ascii="Arial" w:eastAsia="Arial" w:hAnsi="Arial" w:cs="Arial"/>
          <w:b/>
          <w:bCs/>
          <w:sz w:val="22"/>
          <w:szCs w:val="22"/>
          <w:highlight w:val="white"/>
        </w:rPr>
      </w:pPr>
      <w:r>
        <w:rPr>
          <w:rFonts w:ascii="Arial" w:eastAsia="Arial" w:hAnsi="Arial" w:cs="Arial"/>
          <w:b/>
          <w:bCs/>
          <w:sz w:val="22"/>
          <w:szCs w:val="22"/>
          <w:highlight w:val="white"/>
        </w:rPr>
        <w:t>7. Indexación de la multa a imponer</w:t>
      </w:r>
    </w:p>
    <w:p w14:paraId="4F933F02" w14:textId="77777777" w:rsidR="003F4480" w:rsidRDefault="003F4480">
      <w:pPr>
        <w:tabs>
          <w:tab w:val="left" w:pos="5982"/>
        </w:tabs>
        <w:jc w:val="both"/>
        <w:rPr>
          <w:rFonts w:ascii="Arial" w:eastAsia="Arial" w:hAnsi="Arial" w:cs="Arial"/>
          <w:sz w:val="22"/>
          <w:szCs w:val="22"/>
          <w:highlight w:val="white"/>
        </w:rPr>
      </w:pPr>
    </w:p>
    <w:p w14:paraId="5EE50811" w14:textId="77777777" w:rsidR="003F4480" w:rsidRDefault="00376F26">
      <w:pPr>
        <w:jc w:val="both"/>
        <w:rPr>
          <w:rFonts w:ascii="Arial" w:eastAsia="Arial" w:hAnsi="Arial" w:cs="Arial"/>
          <w:sz w:val="22"/>
          <w:szCs w:val="22"/>
          <w:highlight w:val="white"/>
        </w:rPr>
      </w:pPr>
      <w:r>
        <w:rPr>
          <w:rFonts w:ascii="Arial" w:eastAsia="Arial" w:hAnsi="Arial" w:cs="Arial"/>
          <w:sz w:val="22"/>
          <w:szCs w:val="22"/>
          <w:highlight w:val="white"/>
        </w:rPr>
        <w:t>El inciso segundo, numeral 9º del artículo 2º del Decreto Ley 078 de 1987, faculta a este Despacho para imponer multas sucesivas entre DIEZ MIL ($10.000) y QUINIENTOS MIL ($500.000) pesos moneda legal, a las personas naturales o jurídicas sujetas al control y vigilancia de esta Subsecretaría, cuando se cerciore que se ha vulnerado una norma o reglamento a que debe estar sometido con relación a la actividad de enajenación de inmuebles destinados a vivienda, que serán indexados en el tiempo en que se verifiqu</w:t>
      </w:r>
      <w:r>
        <w:rPr>
          <w:rFonts w:ascii="Arial" w:eastAsia="Arial" w:hAnsi="Arial" w:cs="Arial"/>
          <w:sz w:val="22"/>
          <w:szCs w:val="22"/>
          <w:highlight w:val="white"/>
        </w:rPr>
        <w:t xml:space="preserve">e el incumplimiento, por cada seis (6) meses (calendario) de retardo al vencimiento de la fecha establecida para el efecto, de conformidad con lo dispuesto en el inciso segundo numeral 9º del artículo 2º del Decreto Ley 078 de 1987. </w:t>
      </w:r>
    </w:p>
    <w:p w14:paraId="137353F0" w14:textId="77777777" w:rsidR="003F4480" w:rsidRDefault="003F4480">
      <w:pPr>
        <w:jc w:val="both"/>
        <w:rPr>
          <w:rFonts w:ascii="Arial" w:eastAsia="Arial" w:hAnsi="Arial" w:cs="Arial"/>
          <w:sz w:val="22"/>
          <w:szCs w:val="22"/>
          <w:highlight w:val="white"/>
        </w:rPr>
      </w:pPr>
    </w:p>
    <w:p w14:paraId="4A67D6E8" w14:textId="77777777" w:rsidR="003F4480" w:rsidRDefault="00376F26">
      <w:pPr>
        <w:jc w:val="both"/>
        <w:rPr>
          <w:rFonts w:ascii="Arial" w:eastAsia="Arial" w:hAnsi="Arial" w:cs="Arial"/>
          <w:sz w:val="22"/>
          <w:szCs w:val="22"/>
          <w:highlight w:val="white"/>
        </w:rPr>
      </w:pPr>
      <w:r>
        <w:rPr>
          <w:rFonts w:ascii="Arial" w:eastAsia="Arial" w:hAnsi="Arial" w:cs="Arial"/>
          <w:sz w:val="22"/>
          <w:szCs w:val="22"/>
          <w:highlight w:val="white"/>
        </w:rPr>
        <w:t xml:space="preserve">Las multas antes descritas se actualizarán, toda vez que la inaplicación de la indexación dejaría sin fuerza y efectividad las multas a través de las cuales el legislador buscó conminar a las personas dedicadas a la enajenación de inmuebles destinados a vivienda a cumplir </w:t>
      </w:r>
      <w:r>
        <w:rPr>
          <w:rFonts w:ascii="Arial" w:eastAsia="Arial" w:hAnsi="Arial" w:cs="Arial"/>
          <w:sz w:val="22"/>
          <w:szCs w:val="22"/>
          <w:highlight w:val="white"/>
        </w:rPr>
        <w:lastRenderedPageBreak/>
        <w:t>con sus obligaciones, y a persuadirlos de la comisión de conductas infractoras al régimen aplicable.</w:t>
      </w:r>
    </w:p>
    <w:p w14:paraId="0CAC6F61" w14:textId="77777777" w:rsidR="003F4480" w:rsidRDefault="003F4480">
      <w:pPr>
        <w:jc w:val="both"/>
        <w:rPr>
          <w:rFonts w:ascii="Arial" w:eastAsia="Arial" w:hAnsi="Arial" w:cs="Arial"/>
          <w:sz w:val="22"/>
          <w:szCs w:val="22"/>
          <w:highlight w:val="white"/>
        </w:rPr>
      </w:pPr>
    </w:p>
    <w:p w14:paraId="4E39A1B2" w14:textId="77777777" w:rsidR="003F4480" w:rsidRDefault="00376F26">
      <w:pPr>
        <w:jc w:val="both"/>
        <w:rPr>
          <w:rFonts w:ascii="Arial" w:eastAsia="Arial" w:hAnsi="Arial" w:cs="Arial"/>
          <w:sz w:val="22"/>
          <w:szCs w:val="22"/>
          <w:highlight w:val="white"/>
        </w:rPr>
      </w:pPr>
      <w:r>
        <w:rPr>
          <w:rFonts w:ascii="Arial" w:eastAsia="Arial" w:hAnsi="Arial" w:cs="Arial"/>
          <w:sz w:val="22"/>
          <w:szCs w:val="22"/>
          <w:highlight w:val="white"/>
        </w:rPr>
        <w:t>Adicionalmente, en este caso concreto la multa se indexa teniendo en cuenta los incrementos del índice de precios al consumidor certificados por el DANE, desde el 26 de octubre de 1979, momento en que se fijaron los valores de las multas por el Decreto Ley 2610 de 1979, hasta la fecha en que se impone la sanción sin que ello signifique el pago de un mayor valor al establecido en la ley, sino que se aplica el mismo valor, pero pasado a términos presentes, postura que además ha sido avalada y reiterada en dif</w:t>
      </w:r>
      <w:r>
        <w:rPr>
          <w:rFonts w:ascii="Arial" w:eastAsia="Arial" w:hAnsi="Arial" w:cs="Arial"/>
          <w:sz w:val="22"/>
          <w:szCs w:val="22"/>
          <w:highlight w:val="white"/>
        </w:rPr>
        <w:t>erentes pronunciamientos jurisprudenciales, los cuales fueron recogidos en el Concepto No. 1564 del 18 de mayo de 2004, emitido por la Sala de Consulta y Servicio Civil del Consejo de Estado, y acogidos por esta entidad mediante la Directiva No. 001 del 12 de enero de 2010 expedida por la Secretaría Distrital del Hábitat</w:t>
      </w:r>
      <w:r>
        <w:rPr>
          <w:rFonts w:ascii="Arial" w:eastAsia="Arial" w:hAnsi="Arial" w:cs="Arial"/>
          <w:sz w:val="22"/>
          <w:szCs w:val="22"/>
          <w:highlight w:val="white"/>
          <w:vertAlign w:val="superscript"/>
        </w:rPr>
        <w:footnoteReference w:id="1"/>
      </w:r>
      <w:r>
        <w:rPr>
          <w:rFonts w:ascii="Arial" w:eastAsia="Arial" w:hAnsi="Arial" w:cs="Arial"/>
          <w:sz w:val="22"/>
          <w:szCs w:val="22"/>
          <w:highlight w:val="white"/>
        </w:rPr>
        <w:t xml:space="preserve">. </w:t>
      </w:r>
    </w:p>
    <w:p w14:paraId="13FD121E" w14:textId="77777777" w:rsidR="003F4480" w:rsidRDefault="003F4480">
      <w:pPr>
        <w:jc w:val="both"/>
        <w:rPr>
          <w:rFonts w:ascii="Arial" w:eastAsia="Arial" w:hAnsi="Arial" w:cs="Arial"/>
          <w:sz w:val="22"/>
          <w:szCs w:val="22"/>
          <w:highlight w:val="white"/>
        </w:rPr>
      </w:pPr>
    </w:p>
    <w:p w14:paraId="6EACC450" w14:textId="77777777" w:rsidR="003F4480" w:rsidRDefault="00376F26">
      <w:pPr>
        <w:tabs>
          <w:tab w:val="left" w:pos="4253"/>
          <w:tab w:val="right" w:pos="8504"/>
        </w:tabs>
        <w:jc w:val="both"/>
        <w:rPr>
          <w:rFonts w:ascii="Arial" w:eastAsia="Arial" w:hAnsi="Arial" w:cs="Arial"/>
          <w:sz w:val="22"/>
          <w:szCs w:val="22"/>
        </w:rPr>
      </w:pPr>
      <w:r>
        <w:rPr>
          <w:rFonts w:ascii="Arial" w:eastAsia="Arial" w:hAnsi="Arial" w:cs="Arial"/>
          <w:sz w:val="22"/>
          <w:szCs w:val="22"/>
        </w:rPr>
        <w:t>Para la actualización de la sanción se da aplicación a la siguiente fórmula:</w:t>
      </w:r>
    </w:p>
    <w:p w14:paraId="74F432D6" w14:textId="77777777" w:rsidR="003F4480" w:rsidRDefault="003F4480">
      <w:pPr>
        <w:tabs>
          <w:tab w:val="left" w:pos="4253"/>
          <w:tab w:val="right" w:pos="8504"/>
        </w:tabs>
        <w:jc w:val="both"/>
        <w:rPr>
          <w:rFonts w:ascii="Arial" w:eastAsia="Arial" w:hAnsi="Arial" w:cs="Arial"/>
          <w:sz w:val="22"/>
          <w:szCs w:val="22"/>
        </w:rPr>
      </w:pPr>
    </w:p>
    <w:p w14:paraId="574F2CA8" w14:textId="77777777" w:rsidR="003F4480" w:rsidRPr="00A52FEB" w:rsidRDefault="00376F26">
      <w:pPr>
        <w:jc w:val="center"/>
        <w:rPr>
          <w:rFonts w:ascii="Arial" w:eastAsia="Arial" w:hAnsi="Arial" w:cs="Arial"/>
          <w:sz w:val="22"/>
          <w:szCs w:val="22"/>
          <w:lang w:val="en-US"/>
        </w:rPr>
      </w:pPr>
      <w:r>
        <w:rPr>
          <w:rFonts w:ascii="Arial" w:eastAsia="Arial" w:hAnsi="Arial" w:cs="Arial"/>
          <w:b/>
          <w:bCs/>
          <w:sz w:val="22"/>
          <w:szCs w:val="22"/>
        </w:rPr>
        <w:t xml:space="preserve">        </w:t>
      </w:r>
      <w:r w:rsidRPr="00A52FEB">
        <w:rPr>
          <w:rFonts w:ascii="Arial" w:eastAsia="Arial" w:hAnsi="Arial" w:cs="Arial"/>
          <w:b/>
          <w:bCs/>
          <w:sz w:val="22"/>
          <w:szCs w:val="22"/>
          <w:lang w:val="en-US"/>
        </w:rPr>
        <w:t>(</w:t>
      </w:r>
      <w:r w:rsidRPr="00A52FEB">
        <w:rPr>
          <w:rFonts w:ascii="Arial" w:eastAsia="Arial" w:hAnsi="Arial" w:cs="Arial"/>
          <w:sz w:val="22"/>
          <w:szCs w:val="22"/>
          <w:lang w:val="en-US"/>
        </w:rPr>
        <w:t>IPC-F) 155.73</w:t>
      </w:r>
    </w:p>
    <w:p w14:paraId="13711F0C" w14:textId="77777777" w:rsidR="003F4480" w:rsidRPr="00A52FEB" w:rsidRDefault="00376F26">
      <w:pPr>
        <w:jc w:val="center"/>
        <w:rPr>
          <w:rFonts w:ascii="Arial" w:eastAsia="Arial" w:hAnsi="Arial" w:cs="Arial"/>
          <w:sz w:val="22"/>
          <w:szCs w:val="22"/>
          <w:lang w:val="en-US"/>
        </w:rPr>
      </w:pPr>
      <w:r w:rsidRPr="00A52FEB">
        <w:rPr>
          <w:rFonts w:ascii="Arial" w:eastAsia="Arial" w:hAnsi="Arial" w:cs="Arial"/>
          <w:sz w:val="22"/>
          <w:szCs w:val="22"/>
          <w:lang w:val="en-US"/>
        </w:rPr>
        <w:t>VP= (VH) $500.000 --------------------------- = $112.847.826</w:t>
      </w:r>
    </w:p>
    <w:p w14:paraId="75C0C60E" w14:textId="77777777" w:rsidR="003F4480" w:rsidRPr="00A52FEB" w:rsidRDefault="00376F26">
      <w:pPr>
        <w:jc w:val="center"/>
        <w:rPr>
          <w:rFonts w:ascii="Arial" w:eastAsia="Arial" w:hAnsi="Arial" w:cs="Arial"/>
          <w:sz w:val="22"/>
          <w:szCs w:val="22"/>
          <w:lang w:val="en-US"/>
        </w:rPr>
      </w:pPr>
      <w:r w:rsidRPr="00A52FEB">
        <w:rPr>
          <w:rFonts w:ascii="Arial" w:eastAsia="Arial" w:hAnsi="Arial" w:cs="Arial"/>
          <w:sz w:val="22"/>
          <w:szCs w:val="22"/>
          <w:lang w:val="en-US"/>
        </w:rPr>
        <w:t xml:space="preserve">       (IPC-I) 0,69</w:t>
      </w:r>
    </w:p>
    <w:p w14:paraId="7F7AF7D9" w14:textId="77777777" w:rsidR="003F4480" w:rsidRPr="00A52FEB" w:rsidRDefault="003F4480">
      <w:pPr>
        <w:widowControl w:val="0"/>
        <w:tabs>
          <w:tab w:val="left" w:pos="4253"/>
        </w:tabs>
        <w:jc w:val="both"/>
        <w:rPr>
          <w:rFonts w:ascii="Arial" w:eastAsia="Arial" w:hAnsi="Arial" w:cs="Arial"/>
          <w:sz w:val="22"/>
          <w:szCs w:val="22"/>
          <w:lang w:val="en-US"/>
        </w:rPr>
      </w:pPr>
    </w:p>
    <w:p w14:paraId="2B834E46" w14:textId="77777777" w:rsidR="003F4480" w:rsidRDefault="00376F26">
      <w:pPr>
        <w:widowControl w:val="0"/>
        <w:tabs>
          <w:tab w:val="left" w:pos="4253"/>
        </w:tabs>
        <w:jc w:val="both"/>
        <w:rPr>
          <w:rFonts w:ascii="Arial" w:eastAsia="Arial" w:hAnsi="Arial" w:cs="Arial"/>
          <w:sz w:val="22"/>
          <w:szCs w:val="22"/>
        </w:rPr>
      </w:pPr>
      <w:r>
        <w:rPr>
          <w:rFonts w:ascii="Arial" w:eastAsia="Arial" w:hAnsi="Arial" w:cs="Arial"/>
          <w:sz w:val="22"/>
          <w:szCs w:val="22"/>
        </w:rPr>
        <w:t>Siendo (VP) el valor presente de la sanción, y (VH) al valor de la multa establecida en el Decreto Ley 2610 de 1979. Los índices son los acumulados de los Índices de Precios al Consumidor, siendo entonces el IPC (índice inicial) el correspondiente al mes de octubre de 1979 (fecha de entrada en vigencia el Decreto 2610 de 1979, que es igual a “1”) y el IPC (índice final) que corresponde al último acumulado, certificado mensualmente por el DANE, para aplicar en el momento en que se expide el acto administrati</w:t>
      </w:r>
      <w:r>
        <w:rPr>
          <w:rFonts w:ascii="Arial" w:eastAsia="Arial" w:hAnsi="Arial" w:cs="Arial"/>
          <w:sz w:val="22"/>
          <w:szCs w:val="22"/>
        </w:rPr>
        <w:t xml:space="preserve">vo sancionatorio, el cual se puede corroborar en su página web: </w:t>
      </w:r>
      <w:hyperlink r:id="rId7">
        <w:r w:rsidR="003F4480">
          <w:rPr>
            <w:rFonts w:ascii="Arial" w:eastAsia="Arial" w:hAnsi="Arial" w:cs="Arial"/>
            <w:color w:val="1155CC"/>
            <w:sz w:val="22"/>
            <w:szCs w:val="22"/>
            <w:u w:val="single"/>
          </w:rPr>
          <w:t>http://www.dane.gov.co/</w:t>
        </w:r>
      </w:hyperlink>
      <w:r>
        <w:rPr>
          <w:rFonts w:ascii="Arial" w:eastAsia="Arial" w:hAnsi="Arial" w:cs="Arial"/>
          <w:sz w:val="22"/>
          <w:szCs w:val="22"/>
        </w:rPr>
        <w:t xml:space="preserve">. </w:t>
      </w:r>
    </w:p>
    <w:p w14:paraId="675E9271" w14:textId="77777777" w:rsidR="003F4480" w:rsidRDefault="003F4480">
      <w:pPr>
        <w:tabs>
          <w:tab w:val="left" w:pos="4253"/>
          <w:tab w:val="right" w:pos="8504"/>
        </w:tabs>
        <w:jc w:val="both"/>
        <w:rPr>
          <w:rFonts w:ascii="Arial" w:eastAsia="Arial" w:hAnsi="Arial" w:cs="Arial"/>
          <w:sz w:val="22"/>
          <w:szCs w:val="22"/>
        </w:rPr>
      </w:pPr>
    </w:p>
    <w:p w14:paraId="3224F00A" w14:textId="77777777" w:rsidR="003F4480" w:rsidRDefault="00376F26">
      <w:pPr>
        <w:tabs>
          <w:tab w:val="center" w:pos="4419"/>
          <w:tab w:val="right" w:pos="8838"/>
          <w:tab w:val="left" w:pos="4253"/>
        </w:tabs>
        <w:jc w:val="both"/>
        <w:rPr>
          <w:rFonts w:ascii="Arial" w:eastAsia="Arial" w:hAnsi="Arial" w:cs="Arial"/>
          <w:sz w:val="22"/>
          <w:szCs w:val="22"/>
        </w:rPr>
      </w:pPr>
      <w:r>
        <w:rPr>
          <w:rFonts w:ascii="Arial" w:eastAsia="Arial" w:hAnsi="Arial" w:cs="Arial"/>
          <w:sz w:val="22"/>
          <w:szCs w:val="22"/>
        </w:rPr>
        <w:t>Por lo tanto, de acuerdo con la fórmula enunciada anteriormente, el valor correspondiente a los DIEZ MIL PESOS ($10.000) M/CTE, que indexados a la fecha corresponden a DOS MILLONES DOSCIENTOS CINCUENTA Y SEIS MIL NOVECIENTOS CINCUENTA Y SIETE PESOS ($2.256.957) M/CTE, y los QUINIENTOS MIL PESOS ($500.000) M/CTE, que corresponden a CIENTO DOCE MILLONES OCHOCIENTOS CUARENTA Y SIETE MIL OCHOCIENTOS VEINTISÉIS PESOS ($112.847.826) M/CTE, lo anterior nos ilustra respecto de los límites de la sanción, más no resp</w:t>
      </w:r>
      <w:r>
        <w:rPr>
          <w:rFonts w:ascii="Arial" w:eastAsia="Arial" w:hAnsi="Arial" w:cs="Arial"/>
          <w:sz w:val="22"/>
          <w:szCs w:val="22"/>
        </w:rPr>
        <w:t>ecto de la multa a imponer.</w:t>
      </w:r>
    </w:p>
    <w:p w14:paraId="4E197431" w14:textId="77777777" w:rsidR="003F4480" w:rsidRDefault="003F4480">
      <w:pPr>
        <w:pBdr>
          <w:top w:val="nil"/>
          <w:left w:val="nil"/>
          <w:bottom w:val="nil"/>
          <w:right w:val="nil"/>
          <w:between w:val="nil"/>
        </w:pBdr>
        <w:tabs>
          <w:tab w:val="center" w:pos="4419"/>
          <w:tab w:val="right" w:pos="8838"/>
          <w:tab w:val="left" w:pos="4253"/>
        </w:tabs>
        <w:jc w:val="both"/>
        <w:rPr>
          <w:rFonts w:ascii="Arial" w:eastAsia="Arial" w:hAnsi="Arial" w:cs="Arial"/>
          <w:sz w:val="22"/>
          <w:szCs w:val="22"/>
        </w:rPr>
      </w:pPr>
    </w:p>
    <w:p w14:paraId="418B5D5C" w14:textId="281D7899" w:rsidR="003F4480" w:rsidRDefault="00376F26">
      <w:pPr>
        <w:tabs>
          <w:tab w:val="left" w:pos="3716"/>
        </w:tabs>
        <w:jc w:val="both"/>
        <w:rPr>
          <w:rFonts w:ascii="Arial" w:eastAsia="Arial" w:hAnsi="Arial" w:cs="Arial"/>
          <w:sz w:val="22"/>
          <w:szCs w:val="22"/>
        </w:rPr>
      </w:pPr>
      <w:r>
        <w:rPr>
          <w:rFonts w:ascii="Arial" w:eastAsia="Arial" w:hAnsi="Arial" w:cs="Arial"/>
          <w:sz w:val="22"/>
          <w:szCs w:val="22"/>
          <w:highlight w:val="white"/>
        </w:rPr>
        <w:t xml:space="preserve">Por lo anterior, </w:t>
      </w:r>
      <w:r>
        <w:rPr>
          <w:rFonts w:ascii="Arial" w:eastAsia="Arial" w:hAnsi="Arial" w:cs="Arial"/>
          <w:sz w:val="22"/>
          <w:szCs w:val="22"/>
        </w:rPr>
        <w:t>teniendo en cuenta que en el derecho administrativo el bien jurídico protegido es el “</w:t>
      </w:r>
      <w:r>
        <w:rPr>
          <w:rFonts w:ascii="Arial" w:eastAsia="Arial" w:hAnsi="Arial" w:cs="Arial"/>
          <w:i/>
          <w:iCs/>
          <w:sz w:val="22"/>
          <w:szCs w:val="22"/>
        </w:rPr>
        <w:t>cumplimiento de la legalidad</w:t>
      </w:r>
      <w:r>
        <w:rPr>
          <w:rFonts w:ascii="Arial" w:eastAsia="Arial" w:hAnsi="Arial" w:cs="Arial"/>
          <w:sz w:val="22"/>
          <w:szCs w:val="22"/>
        </w:rPr>
        <w:t>”, la infracción a una disposición normativa (de carácter legal, reglamentario, regulatorio e incluso contractual) representa en sí misma la antijuridicidad de la conducta y, en consecuencia, el “</w:t>
      </w:r>
      <w:r>
        <w:rPr>
          <w:rFonts w:ascii="Arial" w:eastAsia="Arial" w:hAnsi="Arial" w:cs="Arial"/>
          <w:i/>
          <w:iCs/>
          <w:sz w:val="22"/>
          <w:szCs w:val="22"/>
        </w:rPr>
        <w:t xml:space="preserve">reproche recae sobre la mera </w:t>
      </w:r>
      <w:r>
        <w:rPr>
          <w:rFonts w:ascii="Arial" w:eastAsia="Arial" w:hAnsi="Arial" w:cs="Arial"/>
          <w:i/>
          <w:iCs/>
          <w:sz w:val="22"/>
          <w:szCs w:val="22"/>
        </w:rPr>
        <w:lastRenderedPageBreak/>
        <w:t>conducta</w:t>
      </w:r>
      <w:r>
        <w:rPr>
          <w:rFonts w:ascii="Arial" w:eastAsia="Arial" w:hAnsi="Arial" w:cs="Arial"/>
          <w:sz w:val="22"/>
          <w:szCs w:val="22"/>
        </w:rPr>
        <w:t>”, o en otras palabras, sobre el incumplimiento de la norma</w:t>
      </w:r>
      <w:r>
        <w:rPr>
          <w:rFonts w:ascii="Arial" w:eastAsia="Arial" w:hAnsi="Arial" w:cs="Arial"/>
          <w:sz w:val="22"/>
          <w:szCs w:val="22"/>
          <w:vertAlign w:val="superscript"/>
        </w:rPr>
        <w:footnoteReference w:id="2"/>
      </w:r>
      <w:r>
        <w:rPr>
          <w:rFonts w:ascii="Arial" w:eastAsia="Arial" w:hAnsi="Arial" w:cs="Arial"/>
          <w:sz w:val="22"/>
          <w:szCs w:val="22"/>
        </w:rPr>
        <w:t xml:space="preserve">; elemento que se encuentra plenamente demostrado frente a los cargos sancionados en la presente investigación administrativa de seguimiento, al no haberse acogido al cumplimiento de las órdenes de hacer </w:t>
      </w:r>
      <w:r>
        <w:rPr>
          <w:rFonts w:ascii="Arial" w:eastAsia="Arial" w:hAnsi="Arial" w:cs="Arial"/>
          <w:sz w:val="22"/>
          <w:szCs w:val="22"/>
          <w:highlight w:val="white"/>
        </w:rPr>
        <w:t xml:space="preserve">y ante la ausencia de prueba en el expediente que confirme que las deficiencias constructivas hayan sido subsanadas de forma definitiva por parte de la responsable, atendiendo los criterios de razonabilidad previstos en el artículo 50 de la Ley 1437 de 2011, esta Dirección impondrá sanción </w:t>
      </w:r>
      <w:r>
        <w:rPr>
          <w:rFonts w:ascii="Arial" w:eastAsia="Arial" w:hAnsi="Arial" w:cs="Arial"/>
          <w:sz w:val="22"/>
          <w:szCs w:val="22"/>
        </w:rPr>
        <w:t xml:space="preserve">por valor de </w:t>
      </w:r>
      <w:r w:rsidR="00E749C3">
        <w:rPr>
          <w:rFonts w:ascii="Arial" w:eastAsia="Arial" w:hAnsi="Arial" w:cs="Arial"/>
          <w:sz w:val="22"/>
          <w:szCs w:val="22"/>
        </w:rPr>
        <w:t xml:space="preserve">DIEZ </w:t>
      </w:r>
      <w:r>
        <w:rPr>
          <w:rFonts w:ascii="Arial" w:eastAsia="Arial" w:hAnsi="Arial" w:cs="Arial"/>
          <w:sz w:val="22"/>
          <w:szCs w:val="22"/>
        </w:rPr>
        <w:t>MIL PESOS ($</w:t>
      </w:r>
      <w:r w:rsidR="00E749C3">
        <w:rPr>
          <w:rFonts w:ascii="Arial" w:eastAsia="Arial" w:hAnsi="Arial" w:cs="Arial"/>
          <w:sz w:val="22"/>
          <w:szCs w:val="22"/>
        </w:rPr>
        <w:t>10</w:t>
      </w:r>
      <w:r>
        <w:rPr>
          <w:rFonts w:ascii="Arial" w:eastAsia="Arial" w:hAnsi="Arial" w:cs="Arial"/>
          <w:sz w:val="22"/>
          <w:szCs w:val="22"/>
        </w:rPr>
        <w:t xml:space="preserve">.000) M/CTE, debiendo ser indexados según lo dicho y la fórmula anteriormente enunciada, así: </w:t>
      </w:r>
    </w:p>
    <w:p w14:paraId="1A8958EF" w14:textId="77777777" w:rsidR="003F4480" w:rsidRDefault="003F4480">
      <w:pPr>
        <w:jc w:val="both"/>
        <w:rPr>
          <w:rFonts w:ascii="Arial" w:eastAsia="Arial" w:hAnsi="Arial" w:cs="Arial"/>
          <w:sz w:val="22"/>
          <w:szCs w:val="22"/>
        </w:rPr>
      </w:pPr>
    </w:p>
    <w:p w14:paraId="22257961" w14:textId="77777777" w:rsidR="003F4480" w:rsidRPr="00A52FEB" w:rsidRDefault="00376F26">
      <w:pPr>
        <w:jc w:val="center"/>
        <w:rPr>
          <w:rFonts w:ascii="Arial" w:eastAsia="Arial" w:hAnsi="Arial" w:cs="Arial"/>
          <w:sz w:val="22"/>
          <w:szCs w:val="22"/>
          <w:lang w:val="en-US"/>
        </w:rPr>
      </w:pPr>
      <w:r>
        <w:rPr>
          <w:rFonts w:ascii="Arial" w:eastAsia="Arial" w:hAnsi="Arial" w:cs="Arial"/>
          <w:color w:val="EE0000"/>
          <w:sz w:val="22"/>
          <w:szCs w:val="22"/>
        </w:rPr>
        <w:t xml:space="preserve">        </w:t>
      </w:r>
      <w:r w:rsidRPr="00A52FEB">
        <w:rPr>
          <w:rFonts w:ascii="Arial" w:eastAsia="Arial" w:hAnsi="Arial" w:cs="Arial"/>
          <w:sz w:val="22"/>
          <w:szCs w:val="22"/>
          <w:lang w:val="en-US"/>
        </w:rPr>
        <w:t>(IPC-F) 155.73</w:t>
      </w:r>
    </w:p>
    <w:p w14:paraId="12AE4CB1" w14:textId="0C2B9DBE" w:rsidR="003F4480" w:rsidRPr="00A52FEB" w:rsidRDefault="00376F26">
      <w:pPr>
        <w:jc w:val="center"/>
        <w:rPr>
          <w:rFonts w:ascii="Arial" w:eastAsia="Arial" w:hAnsi="Arial" w:cs="Arial"/>
          <w:sz w:val="22"/>
          <w:szCs w:val="22"/>
          <w:lang w:val="en-US"/>
        </w:rPr>
      </w:pPr>
      <w:r w:rsidRPr="00A52FEB">
        <w:rPr>
          <w:rFonts w:ascii="Arial" w:eastAsia="Arial" w:hAnsi="Arial" w:cs="Arial"/>
          <w:sz w:val="22"/>
          <w:szCs w:val="22"/>
          <w:lang w:val="en-US"/>
        </w:rPr>
        <w:t>VP= (VH) $</w:t>
      </w:r>
      <w:r w:rsidR="00E749C3">
        <w:rPr>
          <w:rFonts w:ascii="Arial" w:eastAsia="Arial" w:hAnsi="Arial" w:cs="Arial"/>
          <w:sz w:val="22"/>
          <w:szCs w:val="22"/>
          <w:lang w:val="en-US"/>
        </w:rPr>
        <w:t>10</w:t>
      </w:r>
      <w:r w:rsidRPr="00A52FEB">
        <w:rPr>
          <w:rFonts w:ascii="Arial" w:eastAsia="Arial" w:hAnsi="Arial" w:cs="Arial"/>
          <w:sz w:val="22"/>
          <w:szCs w:val="22"/>
          <w:lang w:val="en-US"/>
        </w:rPr>
        <w:t>.</w:t>
      </w:r>
      <w:proofErr w:type="gramStart"/>
      <w:r w:rsidRPr="00A52FEB">
        <w:rPr>
          <w:rFonts w:ascii="Arial" w:eastAsia="Arial" w:hAnsi="Arial" w:cs="Arial"/>
          <w:sz w:val="22"/>
          <w:szCs w:val="22"/>
          <w:lang w:val="en-US"/>
        </w:rPr>
        <w:t>000  ---------------------------</w:t>
      </w:r>
      <w:proofErr w:type="gramEnd"/>
      <w:r w:rsidRPr="00A52FEB">
        <w:rPr>
          <w:rFonts w:ascii="Arial" w:eastAsia="Arial" w:hAnsi="Arial" w:cs="Arial"/>
          <w:sz w:val="22"/>
          <w:szCs w:val="22"/>
          <w:lang w:val="en-US"/>
        </w:rPr>
        <w:t xml:space="preserve"> = $</w:t>
      </w:r>
      <w:r w:rsidR="00E749C3">
        <w:rPr>
          <w:rFonts w:ascii="Arial" w:eastAsia="Arial" w:hAnsi="Arial" w:cs="Arial"/>
          <w:sz w:val="22"/>
          <w:szCs w:val="22"/>
          <w:lang w:val="en-US"/>
        </w:rPr>
        <w:t>2.256.957</w:t>
      </w:r>
    </w:p>
    <w:p w14:paraId="43C0DC98" w14:textId="77777777" w:rsidR="003F4480" w:rsidRPr="00A52FEB" w:rsidRDefault="00376F26">
      <w:pPr>
        <w:jc w:val="center"/>
        <w:rPr>
          <w:rFonts w:ascii="Arial" w:eastAsia="Arial" w:hAnsi="Arial" w:cs="Arial"/>
          <w:sz w:val="22"/>
          <w:szCs w:val="22"/>
          <w:lang w:val="en-US"/>
        </w:rPr>
      </w:pPr>
      <w:r w:rsidRPr="00A52FEB">
        <w:rPr>
          <w:rFonts w:ascii="Arial" w:eastAsia="Arial" w:hAnsi="Arial" w:cs="Arial"/>
          <w:sz w:val="22"/>
          <w:szCs w:val="22"/>
          <w:lang w:val="en-US"/>
        </w:rPr>
        <w:t xml:space="preserve">      (IPC-I) 0,69</w:t>
      </w:r>
    </w:p>
    <w:p w14:paraId="58DB9932" w14:textId="77777777" w:rsidR="003F4480" w:rsidRPr="00A52FEB" w:rsidRDefault="003F4480">
      <w:pPr>
        <w:jc w:val="both"/>
        <w:rPr>
          <w:rFonts w:ascii="Arial" w:eastAsia="Arial" w:hAnsi="Arial" w:cs="Arial"/>
          <w:sz w:val="22"/>
          <w:szCs w:val="22"/>
          <w:lang w:val="en-US"/>
        </w:rPr>
      </w:pPr>
    </w:p>
    <w:p w14:paraId="7B90F52B" w14:textId="264B1CD4" w:rsidR="003F4480" w:rsidRDefault="00376F26">
      <w:pPr>
        <w:jc w:val="both"/>
        <w:rPr>
          <w:rFonts w:ascii="Arial" w:eastAsia="Arial" w:hAnsi="Arial" w:cs="Arial"/>
          <w:sz w:val="22"/>
          <w:szCs w:val="22"/>
          <w:highlight w:val="white"/>
        </w:rPr>
      </w:pPr>
      <w:r>
        <w:rPr>
          <w:rFonts w:ascii="Arial" w:eastAsia="Arial" w:hAnsi="Arial" w:cs="Arial"/>
          <w:sz w:val="22"/>
          <w:szCs w:val="22"/>
        </w:rPr>
        <w:t xml:space="preserve">Que, conforme a la liquidación antes citada, el valor de la multa a imponer a la sociedad enajenadora ONINSA S.A.S., identificada con NIT. 890.911.431-1, </w:t>
      </w:r>
      <w:r>
        <w:rPr>
          <w:rFonts w:ascii="Arial" w:eastAsia="Arial" w:hAnsi="Arial" w:cs="Arial"/>
          <w:sz w:val="22"/>
          <w:szCs w:val="22"/>
          <w:highlight w:val="white"/>
        </w:rPr>
        <w:t xml:space="preserve">por incumplimiento de la orden de hacer ya mencionada será de </w:t>
      </w:r>
      <w:r w:rsidR="00E749C3">
        <w:rPr>
          <w:rFonts w:ascii="Arial" w:eastAsia="Arial" w:hAnsi="Arial" w:cs="Arial"/>
          <w:sz w:val="22"/>
          <w:szCs w:val="22"/>
          <w:highlight w:val="white"/>
        </w:rPr>
        <w:t xml:space="preserve">DOS MILLONES DOSCIENTOS CINCUENTA Y SEIS MIL NOVECIENTOS CINCUENTA Y SIETE </w:t>
      </w:r>
      <w:r>
        <w:rPr>
          <w:rFonts w:ascii="Arial" w:eastAsia="Arial" w:hAnsi="Arial" w:cs="Arial"/>
          <w:sz w:val="22"/>
          <w:szCs w:val="22"/>
          <w:highlight w:val="white"/>
        </w:rPr>
        <w:t>PESOS (</w:t>
      </w:r>
      <w:r>
        <w:rPr>
          <w:rFonts w:ascii="Arial" w:eastAsia="Arial" w:hAnsi="Arial" w:cs="Arial"/>
          <w:sz w:val="22"/>
          <w:szCs w:val="22"/>
        </w:rPr>
        <w:t>$</w:t>
      </w:r>
      <w:r w:rsidR="00E749C3">
        <w:rPr>
          <w:rFonts w:ascii="Arial" w:eastAsia="Arial" w:hAnsi="Arial" w:cs="Arial"/>
          <w:sz w:val="22"/>
          <w:szCs w:val="22"/>
        </w:rPr>
        <w:t>2.256.957</w:t>
      </w:r>
      <w:r>
        <w:rPr>
          <w:rFonts w:ascii="Arial" w:eastAsia="Arial" w:hAnsi="Arial" w:cs="Arial"/>
          <w:sz w:val="22"/>
          <w:szCs w:val="22"/>
          <w:highlight w:val="white"/>
        </w:rPr>
        <w:t>) M/CTE, s</w:t>
      </w:r>
      <w:r>
        <w:rPr>
          <w:rFonts w:ascii="Arial" w:eastAsia="Arial" w:hAnsi="Arial" w:cs="Arial"/>
          <w:sz w:val="22"/>
          <w:szCs w:val="22"/>
        </w:rPr>
        <w:t xml:space="preserve">in perjuicio de que vuelvan a ser impuestas nuevas multas de continuar en incumplimiento.    </w:t>
      </w:r>
    </w:p>
    <w:p w14:paraId="031A62F1" w14:textId="77777777" w:rsidR="003F4480" w:rsidRDefault="003F4480">
      <w:pPr>
        <w:rPr>
          <w:rFonts w:ascii="Arial" w:eastAsia="Arial" w:hAnsi="Arial" w:cs="Arial"/>
          <w:b/>
          <w:bCs/>
          <w:sz w:val="22"/>
          <w:szCs w:val="22"/>
        </w:rPr>
      </w:pPr>
    </w:p>
    <w:p w14:paraId="265275D1" w14:textId="77777777" w:rsidR="003F4480" w:rsidRDefault="00376F26">
      <w:pPr>
        <w:jc w:val="both"/>
        <w:rPr>
          <w:rFonts w:ascii="Arial" w:eastAsia="Arial" w:hAnsi="Arial" w:cs="Arial"/>
          <w:b/>
          <w:bCs/>
          <w:sz w:val="22"/>
          <w:szCs w:val="22"/>
          <w:highlight w:val="white"/>
        </w:rPr>
      </w:pPr>
      <w:r>
        <w:rPr>
          <w:rFonts w:ascii="Arial" w:eastAsia="Arial" w:hAnsi="Arial" w:cs="Arial"/>
          <w:sz w:val="22"/>
          <w:szCs w:val="22"/>
          <w:highlight w:val="white"/>
        </w:rPr>
        <w:t>En mérito de lo expuesto este Despacho,</w:t>
      </w:r>
      <w:r>
        <w:rPr>
          <w:rFonts w:ascii="Arial" w:eastAsia="Arial" w:hAnsi="Arial" w:cs="Arial"/>
          <w:b/>
          <w:bCs/>
          <w:sz w:val="22"/>
          <w:szCs w:val="22"/>
          <w:highlight w:val="white"/>
        </w:rPr>
        <w:t xml:space="preserve"> </w:t>
      </w:r>
    </w:p>
    <w:p w14:paraId="447EAA98" w14:textId="77777777" w:rsidR="003F4480" w:rsidRDefault="003F4480">
      <w:pPr>
        <w:jc w:val="both"/>
        <w:rPr>
          <w:rFonts w:ascii="Arial" w:eastAsia="Arial" w:hAnsi="Arial" w:cs="Arial"/>
          <w:sz w:val="22"/>
          <w:szCs w:val="22"/>
        </w:rPr>
      </w:pPr>
    </w:p>
    <w:p w14:paraId="4A6367A1" w14:textId="77777777" w:rsidR="003F4480" w:rsidRDefault="00376F26">
      <w:pPr>
        <w:jc w:val="center"/>
        <w:rPr>
          <w:rFonts w:ascii="Arial" w:eastAsia="Arial" w:hAnsi="Arial" w:cs="Arial"/>
          <w:b/>
          <w:bCs/>
          <w:sz w:val="22"/>
          <w:szCs w:val="22"/>
          <w:highlight w:val="white"/>
        </w:rPr>
      </w:pPr>
      <w:r>
        <w:rPr>
          <w:rFonts w:ascii="Arial" w:eastAsia="Arial" w:hAnsi="Arial" w:cs="Arial"/>
          <w:b/>
          <w:bCs/>
          <w:sz w:val="22"/>
          <w:szCs w:val="22"/>
          <w:highlight w:val="white"/>
        </w:rPr>
        <w:t>RESUELVE</w:t>
      </w:r>
    </w:p>
    <w:p w14:paraId="628B603B" w14:textId="77777777" w:rsidR="003F4480" w:rsidRDefault="003F4480">
      <w:pPr>
        <w:jc w:val="center"/>
        <w:rPr>
          <w:rFonts w:ascii="Arial" w:eastAsia="Arial" w:hAnsi="Arial" w:cs="Arial"/>
          <w:sz w:val="22"/>
          <w:szCs w:val="22"/>
          <w:highlight w:val="white"/>
        </w:rPr>
      </w:pPr>
    </w:p>
    <w:p w14:paraId="17F7A1FC" w14:textId="77777777" w:rsidR="003F4480" w:rsidRDefault="003F4480">
      <w:pPr>
        <w:jc w:val="both"/>
        <w:rPr>
          <w:rFonts w:ascii="Arial" w:eastAsia="Arial" w:hAnsi="Arial" w:cs="Arial"/>
          <w:sz w:val="22"/>
          <w:szCs w:val="22"/>
        </w:rPr>
      </w:pPr>
    </w:p>
    <w:p w14:paraId="120DFF44" w14:textId="77777777" w:rsidR="003F4480" w:rsidRDefault="003F4480">
      <w:pPr>
        <w:jc w:val="both"/>
        <w:rPr>
          <w:rFonts w:ascii="Arial" w:eastAsia="Arial" w:hAnsi="Arial" w:cs="Arial"/>
          <w:sz w:val="22"/>
          <w:szCs w:val="22"/>
        </w:rPr>
      </w:pPr>
    </w:p>
    <w:p w14:paraId="3E068874" w14:textId="0BA6358B" w:rsidR="003F4480" w:rsidRDefault="00376F26">
      <w:pPr>
        <w:jc w:val="both"/>
        <w:rPr>
          <w:rFonts w:ascii="Arial" w:eastAsia="Arial" w:hAnsi="Arial" w:cs="Arial"/>
          <w:sz w:val="22"/>
          <w:szCs w:val="22"/>
        </w:rPr>
      </w:pPr>
      <w:r>
        <w:rPr>
          <w:rFonts w:ascii="Arial" w:eastAsia="Arial" w:hAnsi="Arial" w:cs="Arial"/>
          <w:b/>
          <w:bCs/>
          <w:sz w:val="22"/>
          <w:szCs w:val="22"/>
        </w:rPr>
        <w:t>ARTÍCULO PRIMERO:</w:t>
      </w:r>
      <w:r>
        <w:rPr>
          <w:rFonts w:ascii="Arial" w:eastAsia="Arial" w:hAnsi="Arial" w:cs="Arial"/>
          <w:sz w:val="22"/>
          <w:szCs w:val="22"/>
        </w:rPr>
        <w:t xml:space="preserve"> IMPONER a la sociedad enajenadora CONINSA S.A.S., identificada con NIT. 890.911.431-1 multa de </w:t>
      </w:r>
      <w:r w:rsidR="00E749C3">
        <w:rPr>
          <w:rFonts w:ascii="Arial" w:eastAsia="Arial" w:hAnsi="Arial" w:cs="Arial"/>
          <w:sz w:val="22"/>
          <w:szCs w:val="22"/>
        </w:rPr>
        <w:t xml:space="preserve">DIEZ </w:t>
      </w:r>
      <w:r>
        <w:rPr>
          <w:rFonts w:ascii="Arial" w:eastAsia="Arial" w:hAnsi="Arial" w:cs="Arial"/>
          <w:sz w:val="22"/>
          <w:szCs w:val="22"/>
        </w:rPr>
        <w:t>MIL PESOS ($</w:t>
      </w:r>
      <w:r w:rsidR="00E749C3">
        <w:rPr>
          <w:rFonts w:ascii="Arial" w:eastAsia="Arial" w:hAnsi="Arial" w:cs="Arial"/>
          <w:sz w:val="22"/>
          <w:szCs w:val="22"/>
        </w:rPr>
        <w:t>10</w:t>
      </w:r>
      <w:r>
        <w:rPr>
          <w:rFonts w:ascii="Arial" w:eastAsia="Arial" w:hAnsi="Arial" w:cs="Arial"/>
          <w:sz w:val="22"/>
          <w:szCs w:val="22"/>
        </w:rPr>
        <w:t xml:space="preserve">.000) M/CTE, que indexados a la fecha corresponden a la suma de </w:t>
      </w:r>
      <w:r w:rsidR="00E749C3">
        <w:rPr>
          <w:rFonts w:ascii="Arial" w:eastAsia="Arial" w:hAnsi="Arial" w:cs="Arial"/>
          <w:sz w:val="22"/>
          <w:szCs w:val="22"/>
          <w:highlight w:val="white"/>
        </w:rPr>
        <w:t>DOS MILLONES DOSCIENTOS CINCUENTA Y SEIS MIL NOVECIENTOS CINCUENTA Y SIETE PESOS (</w:t>
      </w:r>
      <w:r w:rsidR="00E749C3">
        <w:rPr>
          <w:rFonts w:ascii="Arial" w:eastAsia="Arial" w:hAnsi="Arial" w:cs="Arial"/>
          <w:sz w:val="22"/>
          <w:szCs w:val="22"/>
        </w:rPr>
        <w:t>$2.256.957</w:t>
      </w:r>
      <w:r w:rsidR="00E749C3">
        <w:rPr>
          <w:rFonts w:ascii="Arial" w:eastAsia="Arial" w:hAnsi="Arial" w:cs="Arial"/>
          <w:sz w:val="22"/>
          <w:szCs w:val="22"/>
          <w:highlight w:val="white"/>
        </w:rPr>
        <w:t>)</w:t>
      </w:r>
      <w:r>
        <w:rPr>
          <w:rFonts w:ascii="Arial" w:eastAsia="Arial" w:hAnsi="Arial" w:cs="Arial"/>
          <w:sz w:val="22"/>
          <w:szCs w:val="22"/>
          <w:highlight w:val="white"/>
        </w:rPr>
        <w:t xml:space="preserve"> M/CTE, </w:t>
      </w:r>
      <w:r>
        <w:rPr>
          <w:rFonts w:ascii="Arial" w:eastAsia="Arial" w:hAnsi="Arial" w:cs="Arial"/>
          <w:sz w:val="22"/>
          <w:szCs w:val="22"/>
        </w:rPr>
        <w:t>de conformidad con lo señalado en la parte motiva del presente acto administrativo, sin perjuicio a que se impongan multas sucesivas hasta tanto se dé cumplimiento total a las órdenes emitidas por esta Dirección en la Resolución No. 3099 del 20 de diciembre de 2022</w:t>
      </w:r>
      <w:r>
        <w:rPr>
          <w:rFonts w:ascii="Arial" w:eastAsia="Arial" w:hAnsi="Arial" w:cs="Arial"/>
          <w:i/>
          <w:iCs/>
          <w:sz w:val="22"/>
          <w:szCs w:val="22"/>
        </w:rPr>
        <w:t>, “Por la cual se impone una sanción y se imparte una orden</w:t>
      </w:r>
      <w:r>
        <w:rPr>
          <w:rFonts w:ascii="Arial" w:eastAsia="Arial" w:hAnsi="Arial" w:cs="Arial"/>
          <w:sz w:val="22"/>
          <w:szCs w:val="22"/>
        </w:rPr>
        <w:t>”, según lo dispuesto e</w:t>
      </w:r>
      <w:r>
        <w:rPr>
          <w:rFonts w:ascii="Arial" w:eastAsia="Arial" w:hAnsi="Arial" w:cs="Arial"/>
          <w:sz w:val="22"/>
          <w:szCs w:val="22"/>
        </w:rPr>
        <w:t xml:space="preserve">n el inciso segundo numeral 9 del artículo 2º del Decreto Ley 078 de 1987.    </w:t>
      </w:r>
    </w:p>
    <w:p w14:paraId="1BAD9F30" w14:textId="77777777" w:rsidR="003F4480" w:rsidRDefault="003F4480">
      <w:pPr>
        <w:pBdr>
          <w:top w:val="nil"/>
          <w:left w:val="nil"/>
          <w:bottom w:val="nil"/>
          <w:right w:val="nil"/>
          <w:between w:val="nil"/>
        </w:pBdr>
        <w:jc w:val="both"/>
        <w:rPr>
          <w:rFonts w:ascii="Arial" w:eastAsia="Arial" w:hAnsi="Arial" w:cs="Arial"/>
          <w:b/>
          <w:bCs/>
          <w:color w:val="000000"/>
          <w:sz w:val="22"/>
          <w:szCs w:val="22"/>
          <w:highlight w:val="white"/>
        </w:rPr>
      </w:pPr>
    </w:p>
    <w:p w14:paraId="6EC0AE21" w14:textId="77777777" w:rsidR="003F4480" w:rsidRDefault="00376F26">
      <w:pPr>
        <w:pBdr>
          <w:top w:val="nil"/>
          <w:left w:val="nil"/>
          <w:bottom w:val="nil"/>
          <w:right w:val="nil"/>
          <w:between w:val="nil"/>
        </w:pBdr>
        <w:jc w:val="both"/>
        <w:rPr>
          <w:rFonts w:ascii="Arial" w:eastAsia="Arial" w:hAnsi="Arial" w:cs="Arial"/>
          <w:color w:val="000000"/>
          <w:sz w:val="22"/>
          <w:szCs w:val="22"/>
        </w:rPr>
      </w:pPr>
      <w:r>
        <w:rPr>
          <w:rFonts w:ascii="Arial" w:eastAsia="Arial" w:hAnsi="Arial" w:cs="Arial"/>
          <w:b/>
          <w:bCs/>
          <w:sz w:val="22"/>
          <w:szCs w:val="22"/>
          <w:highlight w:val="white"/>
        </w:rPr>
        <w:t>ARTÍCULO</w:t>
      </w:r>
      <w:r>
        <w:rPr>
          <w:rFonts w:ascii="Arial" w:eastAsia="Arial" w:hAnsi="Arial" w:cs="Arial"/>
          <w:color w:val="0F4761"/>
          <w:sz w:val="22"/>
          <w:szCs w:val="22"/>
        </w:rPr>
        <w:t xml:space="preserve"> </w:t>
      </w:r>
      <w:r>
        <w:rPr>
          <w:rFonts w:ascii="Arial" w:eastAsia="Arial" w:hAnsi="Arial" w:cs="Arial"/>
          <w:b/>
          <w:bCs/>
          <w:color w:val="000000"/>
          <w:sz w:val="22"/>
          <w:szCs w:val="22"/>
        </w:rPr>
        <w:t>SEGUNDO</w:t>
      </w:r>
      <w:r>
        <w:rPr>
          <w:rFonts w:ascii="Arial" w:eastAsia="Arial" w:hAnsi="Arial" w:cs="Arial"/>
          <w:b/>
          <w:bCs/>
          <w:color w:val="000000"/>
          <w:sz w:val="22"/>
          <w:szCs w:val="22"/>
          <w:highlight w:val="white"/>
        </w:rPr>
        <w:t xml:space="preserve">: </w:t>
      </w:r>
      <w:r>
        <w:rPr>
          <w:rFonts w:ascii="Arial" w:eastAsia="Arial" w:hAnsi="Arial" w:cs="Arial"/>
          <w:color w:val="000000"/>
          <w:sz w:val="22"/>
          <w:szCs w:val="22"/>
        </w:rPr>
        <w:t>El pago de la multa impuesta deberá ser cancelada a partir de la ejecutoria de la presente Resolución, trámite para lo cual se requiere solicitar “</w:t>
      </w:r>
      <w:r>
        <w:rPr>
          <w:rFonts w:ascii="Arial" w:eastAsia="Arial" w:hAnsi="Arial" w:cs="Arial"/>
          <w:i/>
          <w:iCs/>
          <w:color w:val="000000"/>
          <w:sz w:val="22"/>
          <w:szCs w:val="22"/>
        </w:rPr>
        <w:t>Formato de Conceptos Varios”</w:t>
      </w:r>
      <w:r>
        <w:rPr>
          <w:rFonts w:ascii="Arial" w:eastAsia="Arial" w:hAnsi="Arial" w:cs="Arial"/>
          <w:color w:val="000000"/>
          <w:sz w:val="22"/>
          <w:szCs w:val="22"/>
        </w:rPr>
        <w:t xml:space="preserve"> al correo electrónico </w:t>
      </w:r>
      <w:hyperlink r:id="rId8">
        <w:r w:rsidR="003F4480">
          <w:rPr>
            <w:rFonts w:ascii="Arial" w:eastAsia="Arial" w:hAnsi="Arial" w:cs="Arial"/>
            <w:color w:val="000000"/>
            <w:sz w:val="22"/>
            <w:szCs w:val="22"/>
            <w:u w:val="single"/>
          </w:rPr>
          <w:t>cobropersuasivo@habitatbogota.gov.co</w:t>
        </w:r>
      </w:hyperlink>
      <w:r>
        <w:rPr>
          <w:rFonts w:ascii="Arial" w:eastAsia="Arial" w:hAnsi="Arial" w:cs="Arial"/>
          <w:color w:val="000000"/>
          <w:sz w:val="22"/>
          <w:szCs w:val="22"/>
        </w:rPr>
        <w:t xml:space="preserve">, documento con el que podrá realizar el pago en efectivo o cheque de Gerencia nombre de la Dirección Distrital de Tesorería, en cualquier sucursal del Banco de Occidente. Una vez efectuado el pago deberá radicar en nuestra área de correspondencia ubicada en la </w:t>
      </w:r>
      <w:r>
        <w:rPr>
          <w:rFonts w:ascii="Arial" w:eastAsia="Arial" w:hAnsi="Arial" w:cs="Arial"/>
          <w:color w:val="000000"/>
          <w:sz w:val="22"/>
          <w:szCs w:val="22"/>
        </w:rPr>
        <w:lastRenderedPageBreak/>
        <w:t xml:space="preserve">Carrera 13 52-25 Piso 1 o en el correo electrónico </w:t>
      </w:r>
      <w:hyperlink r:id="rId9">
        <w:r w:rsidR="003F4480">
          <w:rPr>
            <w:rFonts w:ascii="Arial" w:eastAsia="Arial" w:hAnsi="Arial" w:cs="Arial"/>
            <w:color w:val="000000"/>
            <w:sz w:val="22"/>
            <w:szCs w:val="22"/>
            <w:u w:val="single"/>
          </w:rPr>
          <w:t>ventanilladecorrespondencia@habitatbogota.gov.co</w:t>
        </w:r>
      </w:hyperlink>
      <w:r>
        <w:rPr>
          <w:rFonts w:ascii="Arial" w:eastAsia="Arial" w:hAnsi="Arial" w:cs="Arial"/>
          <w:color w:val="000000"/>
          <w:sz w:val="22"/>
          <w:szCs w:val="22"/>
        </w:rPr>
        <w:t>, una fotocopia del recibo de pago, acompañada de un oficio remisorio.</w:t>
      </w:r>
    </w:p>
    <w:p w14:paraId="70E522F1" w14:textId="77777777" w:rsidR="003F4480" w:rsidRDefault="00376F26">
      <w:pPr>
        <w:pBdr>
          <w:top w:val="nil"/>
          <w:left w:val="nil"/>
          <w:bottom w:val="nil"/>
          <w:right w:val="nil"/>
          <w:between w:val="nil"/>
        </w:pBdr>
        <w:jc w:val="both"/>
        <w:rPr>
          <w:rFonts w:ascii="Arial" w:eastAsia="Arial" w:hAnsi="Arial" w:cs="Arial"/>
          <w:color w:val="000000"/>
          <w:sz w:val="22"/>
          <w:szCs w:val="22"/>
        </w:rPr>
      </w:pPr>
      <w:r>
        <w:rPr>
          <w:rFonts w:ascii="Arial" w:eastAsia="Arial" w:hAnsi="Arial" w:cs="Arial"/>
          <w:color w:val="000000"/>
          <w:sz w:val="22"/>
          <w:szCs w:val="22"/>
        </w:rPr>
        <w:t>  </w:t>
      </w:r>
    </w:p>
    <w:p w14:paraId="217A7A9A" w14:textId="77777777" w:rsidR="003F4480" w:rsidRDefault="00376F26">
      <w:pPr>
        <w:pBdr>
          <w:top w:val="nil"/>
          <w:left w:val="nil"/>
          <w:bottom w:val="nil"/>
          <w:right w:val="nil"/>
          <w:between w:val="nil"/>
        </w:pBdr>
        <w:jc w:val="both"/>
        <w:rPr>
          <w:rFonts w:ascii="Arial" w:eastAsia="Arial" w:hAnsi="Arial" w:cs="Arial"/>
          <w:sz w:val="22"/>
          <w:szCs w:val="22"/>
        </w:rPr>
      </w:pPr>
      <w:r>
        <w:rPr>
          <w:rFonts w:ascii="Arial" w:eastAsia="Arial" w:hAnsi="Arial" w:cs="Arial"/>
          <w:b/>
          <w:bCs/>
          <w:color w:val="000000"/>
          <w:sz w:val="22"/>
          <w:szCs w:val="22"/>
        </w:rPr>
        <w:t>ARTÍCULO TERCERO: </w:t>
      </w:r>
      <w:r>
        <w:rPr>
          <w:rFonts w:ascii="Arial" w:eastAsia="Arial" w:hAnsi="Arial" w:cs="Arial"/>
          <w:color w:val="000000"/>
          <w:sz w:val="22"/>
          <w:szCs w:val="22"/>
        </w:rPr>
        <w:t xml:space="preserve">La presente Resolución presta mérito ejecutivo y causa intereses moratorios del 12% anual, desde su </w:t>
      </w:r>
      <w:r>
        <w:rPr>
          <w:rFonts w:ascii="Arial" w:eastAsia="Arial" w:hAnsi="Arial" w:cs="Arial"/>
          <w:sz w:val="22"/>
          <w:szCs w:val="22"/>
        </w:rPr>
        <w:t>ejecutoria y hasta el momento en que se realice el pago, según lo establece el Decreto 289 de 2021 artículo 27 inc. 8. De no efectuarse el pago de la multa impuesta dentro del término señalado, éste se hará efectivo por jurisdicción coactiva a través de la Subdirección de Cobro no Tributario de la Secretaría Distrital de Hacienda, con las consecuencias jurídicas y financieras que de ello se derivan.</w:t>
      </w:r>
    </w:p>
    <w:p w14:paraId="72BE33F1" w14:textId="77777777" w:rsidR="003F4480" w:rsidRDefault="003F4480">
      <w:pPr>
        <w:pBdr>
          <w:top w:val="nil"/>
          <w:left w:val="nil"/>
          <w:bottom w:val="nil"/>
          <w:right w:val="nil"/>
          <w:between w:val="nil"/>
        </w:pBdr>
        <w:jc w:val="both"/>
        <w:rPr>
          <w:rFonts w:ascii="Arial" w:eastAsia="Arial" w:hAnsi="Arial" w:cs="Arial"/>
          <w:sz w:val="22"/>
          <w:szCs w:val="22"/>
        </w:rPr>
      </w:pPr>
    </w:p>
    <w:p w14:paraId="05DBA821" w14:textId="45576CC1" w:rsidR="003F4480" w:rsidRDefault="00A52FEB">
      <w:pPr>
        <w:pBdr>
          <w:top w:val="nil"/>
          <w:left w:val="nil"/>
          <w:bottom w:val="nil"/>
          <w:right w:val="nil"/>
          <w:between w:val="nil"/>
        </w:pBdr>
        <w:jc w:val="both"/>
        <w:rPr>
          <w:rFonts w:ascii="Arial" w:eastAsia="Arial" w:hAnsi="Arial" w:cs="Arial"/>
          <w:sz w:val="22"/>
          <w:szCs w:val="22"/>
        </w:rPr>
      </w:pPr>
      <w:r>
        <w:rPr>
          <w:rFonts w:ascii="Arial" w:eastAsia="Arial" w:hAnsi="Arial" w:cs="Arial"/>
          <w:b/>
          <w:bCs/>
          <w:sz w:val="22"/>
          <w:szCs w:val="22"/>
        </w:rPr>
        <w:t>ARTÍCULO CUARTO</w:t>
      </w:r>
      <w:r>
        <w:rPr>
          <w:rFonts w:ascii="Arial" w:eastAsia="Arial" w:hAnsi="Arial" w:cs="Arial"/>
          <w:sz w:val="22"/>
          <w:szCs w:val="22"/>
        </w:rPr>
        <w:t>: Notificar el contenido de la presente Resolución al representante legal y/o al apoderado de la sociedad enajenadora CONINSA S.A.S., identificada con NIT. 890.911.431-1</w:t>
      </w:r>
      <w:r>
        <w:rPr>
          <w:rFonts w:ascii="Arial" w:eastAsia="Arial" w:hAnsi="Arial" w:cs="Arial"/>
          <w:color w:val="FF9900"/>
          <w:sz w:val="22"/>
          <w:szCs w:val="22"/>
        </w:rPr>
        <w:t xml:space="preserve"> </w:t>
      </w:r>
      <w:r>
        <w:rPr>
          <w:rFonts w:ascii="Arial" w:eastAsia="Arial" w:hAnsi="Arial" w:cs="Arial"/>
          <w:sz w:val="22"/>
          <w:szCs w:val="22"/>
        </w:rPr>
        <w:t xml:space="preserve">para lo cual deberá </w:t>
      </w:r>
      <w:r w:rsidR="00E749C3">
        <w:rPr>
          <w:rFonts w:ascii="Arial" w:eastAsia="Arial" w:hAnsi="Arial" w:cs="Arial"/>
          <w:sz w:val="22"/>
          <w:szCs w:val="22"/>
        </w:rPr>
        <w:t xml:space="preserve">notificarse </w:t>
      </w:r>
      <w:r>
        <w:rPr>
          <w:rFonts w:ascii="Arial" w:eastAsia="Arial" w:hAnsi="Arial" w:cs="Arial"/>
          <w:sz w:val="22"/>
          <w:szCs w:val="22"/>
        </w:rPr>
        <w:t xml:space="preserve">a la dirección electrónica </w:t>
      </w:r>
      <w:hyperlink r:id="rId10">
        <w:r>
          <w:rPr>
            <w:rFonts w:ascii="Arial" w:eastAsia="Arial" w:hAnsi="Arial" w:cs="Arial"/>
            <w:color w:val="1155CC"/>
            <w:sz w:val="22"/>
            <w:szCs w:val="22"/>
            <w:u w:val="single"/>
          </w:rPr>
          <w:t>cfranco</w:t>
        </w:r>
      </w:hyperlink>
      <w:hyperlink r:id="rId11">
        <w:r>
          <w:rPr>
            <w:rFonts w:ascii="Roboto Mono" w:eastAsia="Roboto Mono" w:hAnsi="Roboto Mono" w:cs="Roboto Mono"/>
            <w:color w:val="1155CC"/>
            <w:sz w:val="21"/>
            <w:szCs w:val="21"/>
            <w:u w:val="single"/>
            <w:shd w:val="clear" w:color="auto" w:fill="F4F6F7"/>
          </w:rPr>
          <w:t>@</w:t>
        </w:r>
      </w:hyperlink>
      <w:hyperlink r:id="rId12">
        <w:r>
          <w:rPr>
            <w:rFonts w:ascii="Arial" w:eastAsia="Arial" w:hAnsi="Arial" w:cs="Arial"/>
            <w:color w:val="1155CC"/>
            <w:sz w:val="22"/>
            <w:szCs w:val="22"/>
            <w:u w:val="single"/>
          </w:rPr>
          <w:t>coninsaramonh.com</w:t>
        </w:r>
      </w:hyperlink>
      <w:r w:rsidR="00E749C3">
        <w:rPr>
          <w:rFonts w:ascii="Arial" w:eastAsia="Arial" w:hAnsi="Arial" w:cs="Arial"/>
          <w:sz w:val="22"/>
          <w:szCs w:val="22"/>
        </w:rPr>
        <w:t>, de acuerdo con el certificado de cámara de comercio consultado el día 06 de abril de 2026;</w:t>
      </w:r>
      <w:r>
        <w:rPr>
          <w:rFonts w:ascii="Arial" w:eastAsia="Arial" w:hAnsi="Arial" w:cs="Arial"/>
          <w:b/>
          <w:bCs/>
          <w:sz w:val="22"/>
          <w:szCs w:val="22"/>
        </w:rPr>
        <w:t xml:space="preserve"> </w:t>
      </w:r>
      <w:r>
        <w:rPr>
          <w:rFonts w:ascii="Arial" w:eastAsia="Arial" w:hAnsi="Arial" w:cs="Arial"/>
          <w:sz w:val="22"/>
          <w:szCs w:val="22"/>
        </w:rPr>
        <w:t xml:space="preserve">o en su defecto, de conformidad con las normas previstas en la ley 1437 de 2011. </w:t>
      </w:r>
    </w:p>
    <w:p w14:paraId="56CDABF7" w14:textId="77777777" w:rsidR="003F4480" w:rsidRDefault="003F4480">
      <w:pPr>
        <w:pBdr>
          <w:top w:val="nil"/>
          <w:left w:val="nil"/>
          <w:bottom w:val="nil"/>
          <w:right w:val="nil"/>
          <w:between w:val="nil"/>
        </w:pBdr>
        <w:jc w:val="both"/>
        <w:rPr>
          <w:rFonts w:ascii="Arial" w:eastAsia="Arial" w:hAnsi="Arial" w:cs="Arial"/>
          <w:b/>
          <w:bCs/>
          <w:sz w:val="22"/>
          <w:szCs w:val="22"/>
          <w:highlight w:val="white"/>
        </w:rPr>
      </w:pPr>
    </w:p>
    <w:p w14:paraId="2B4B027E" w14:textId="40283303" w:rsidR="003F4480" w:rsidRDefault="00A52FEB">
      <w:pPr>
        <w:pBdr>
          <w:top w:val="nil"/>
          <w:left w:val="nil"/>
          <w:bottom w:val="nil"/>
          <w:right w:val="nil"/>
          <w:between w:val="nil"/>
        </w:pBdr>
        <w:jc w:val="both"/>
        <w:rPr>
          <w:rFonts w:ascii="Arial" w:eastAsia="Arial" w:hAnsi="Arial" w:cs="Arial"/>
          <w:sz w:val="22"/>
          <w:szCs w:val="22"/>
        </w:rPr>
      </w:pPr>
      <w:r>
        <w:rPr>
          <w:rFonts w:ascii="Arial" w:eastAsia="Arial" w:hAnsi="Arial" w:cs="Arial"/>
          <w:b/>
          <w:bCs/>
          <w:sz w:val="22"/>
          <w:szCs w:val="22"/>
        </w:rPr>
        <w:t xml:space="preserve">ARTÍCULO </w:t>
      </w:r>
      <w:r>
        <w:rPr>
          <w:rFonts w:ascii="Arial" w:eastAsia="Arial" w:hAnsi="Arial" w:cs="Arial"/>
          <w:b/>
          <w:bCs/>
          <w:sz w:val="22"/>
          <w:szCs w:val="22"/>
          <w:highlight w:val="white"/>
        </w:rPr>
        <w:t>QUINTO</w:t>
      </w:r>
      <w:r>
        <w:rPr>
          <w:rFonts w:ascii="Arial" w:eastAsia="Arial" w:hAnsi="Arial" w:cs="Arial"/>
          <w:b/>
          <w:bCs/>
          <w:sz w:val="22"/>
          <w:szCs w:val="22"/>
        </w:rPr>
        <w:t>:</w:t>
      </w:r>
      <w:r>
        <w:rPr>
          <w:rFonts w:ascii="Arial" w:eastAsia="Arial" w:hAnsi="Arial" w:cs="Arial"/>
          <w:sz w:val="22"/>
          <w:szCs w:val="22"/>
        </w:rPr>
        <w:t xml:space="preserve"> Notificar el contenido de esta Resolución al </w:t>
      </w:r>
      <w:r w:rsidR="00E749C3">
        <w:rPr>
          <w:rFonts w:ascii="Arial" w:eastAsia="Arial" w:hAnsi="Arial" w:cs="Arial"/>
          <w:sz w:val="22"/>
          <w:szCs w:val="22"/>
        </w:rPr>
        <w:t xml:space="preserve">propietario del apartamento 810 (o quien haga sus veces) </w:t>
      </w:r>
      <w:r>
        <w:rPr>
          <w:rFonts w:ascii="Arial" w:eastAsia="Arial" w:hAnsi="Arial" w:cs="Arial"/>
          <w:sz w:val="22"/>
          <w:szCs w:val="22"/>
        </w:rPr>
        <w:t xml:space="preserve">del proyecto de vivienda EDIFICIO THINK APARTAMENTOS - PROPIEDAD HORIZONTAL, para lo cual deberá enviarse citación para notificación personal a la Carrera 4 # 26 A - 42 </w:t>
      </w:r>
      <w:r w:rsidR="00E749C3">
        <w:rPr>
          <w:rFonts w:ascii="Arial" w:eastAsia="Arial" w:hAnsi="Arial" w:cs="Arial"/>
          <w:sz w:val="22"/>
          <w:szCs w:val="22"/>
        </w:rPr>
        <w:t xml:space="preserve">apartamento 810 </w:t>
      </w:r>
      <w:r>
        <w:rPr>
          <w:rFonts w:ascii="Arial" w:eastAsia="Arial" w:hAnsi="Arial" w:cs="Arial"/>
          <w:sz w:val="22"/>
          <w:szCs w:val="22"/>
        </w:rPr>
        <w:t>de Bogotá; o, en su defecto, de conformidad con las normas de notificación previstas en la Ley 1437 de 2011.</w:t>
      </w:r>
    </w:p>
    <w:p w14:paraId="77AB547E" w14:textId="77777777" w:rsidR="003F4480" w:rsidRDefault="003F4480">
      <w:pPr>
        <w:widowControl w:val="0"/>
        <w:jc w:val="both"/>
        <w:rPr>
          <w:rFonts w:ascii="Arial" w:eastAsia="Arial" w:hAnsi="Arial" w:cs="Arial"/>
          <w:b/>
          <w:bCs/>
          <w:sz w:val="22"/>
          <w:szCs w:val="22"/>
        </w:rPr>
      </w:pPr>
    </w:p>
    <w:p w14:paraId="02D552E0" w14:textId="77777777" w:rsidR="003F4480" w:rsidRDefault="00376F26">
      <w:pPr>
        <w:widowControl w:val="0"/>
        <w:jc w:val="both"/>
        <w:rPr>
          <w:rFonts w:ascii="Arial" w:eastAsia="Arial" w:hAnsi="Arial" w:cs="Arial"/>
          <w:sz w:val="22"/>
          <w:szCs w:val="22"/>
        </w:rPr>
      </w:pPr>
      <w:r>
        <w:rPr>
          <w:rFonts w:ascii="Arial" w:eastAsia="Arial" w:hAnsi="Arial" w:cs="Arial"/>
          <w:b/>
          <w:bCs/>
          <w:sz w:val="22"/>
          <w:szCs w:val="22"/>
        </w:rPr>
        <w:t xml:space="preserve">ARTÍCULO SEXTO: </w:t>
      </w:r>
      <w:r>
        <w:rPr>
          <w:rFonts w:ascii="Arial" w:eastAsia="Arial" w:hAnsi="Arial" w:cs="Arial"/>
          <w:sz w:val="22"/>
          <w:szCs w:val="22"/>
        </w:rPr>
        <w:t xml:space="preserve">Contra la presente Resolución procede el recurso de reposición ante este Despacho y el de apelación ante la Subsecretaría de Inspección, Vigilancia y Control de Vivienda de la Secretaría Distrital del Hábitat, los cuales se podrán interponer en la diligencia de notificación personal, o dentro de los diez (10) días hábiles siguientes a ella, o a la notificación por aviso, o al vencimiento del término de publicación según el caso, de conformidad con lo dispuesto en el Código de Procedimiento Administrativo y </w:t>
      </w:r>
      <w:r>
        <w:rPr>
          <w:rFonts w:ascii="Arial" w:eastAsia="Arial" w:hAnsi="Arial" w:cs="Arial"/>
          <w:sz w:val="22"/>
          <w:szCs w:val="22"/>
        </w:rPr>
        <w:t>de lo Contencioso Administrativo.</w:t>
      </w:r>
    </w:p>
    <w:p w14:paraId="4CD8FA78" w14:textId="77777777" w:rsidR="003F4480" w:rsidRDefault="003F4480">
      <w:pPr>
        <w:widowControl w:val="0"/>
        <w:jc w:val="both"/>
        <w:rPr>
          <w:rFonts w:ascii="Arial" w:eastAsia="Arial" w:hAnsi="Arial" w:cs="Arial"/>
          <w:sz w:val="22"/>
          <w:szCs w:val="22"/>
        </w:rPr>
      </w:pPr>
    </w:p>
    <w:p w14:paraId="3B0DB60C" w14:textId="77777777" w:rsidR="003F4480" w:rsidRDefault="00376F26">
      <w:pPr>
        <w:jc w:val="both"/>
        <w:rPr>
          <w:rFonts w:ascii="Arial" w:eastAsia="Arial" w:hAnsi="Arial" w:cs="Arial"/>
          <w:sz w:val="22"/>
          <w:szCs w:val="22"/>
        </w:rPr>
      </w:pPr>
      <w:r>
        <w:rPr>
          <w:rFonts w:ascii="Arial" w:eastAsia="Arial" w:hAnsi="Arial" w:cs="Arial"/>
          <w:b/>
          <w:bCs/>
          <w:sz w:val="22"/>
          <w:szCs w:val="22"/>
        </w:rPr>
        <w:t>ARTÍCULO SEPTIMO:</w:t>
      </w:r>
      <w:r>
        <w:rPr>
          <w:rFonts w:ascii="Arial" w:eastAsia="Arial" w:hAnsi="Arial" w:cs="Arial"/>
          <w:sz w:val="22"/>
          <w:szCs w:val="22"/>
        </w:rPr>
        <w:t xml:space="preserve"> La presente Resolución rige a partir de su expedición.</w:t>
      </w:r>
    </w:p>
    <w:p w14:paraId="180DBCC9" w14:textId="77777777" w:rsidR="003F4480" w:rsidRDefault="003F4480">
      <w:pPr>
        <w:pBdr>
          <w:top w:val="nil"/>
          <w:left w:val="nil"/>
          <w:bottom w:val="nil"/>
          <w:right w:val="nil"/>
          <w:between w:val="nil"/>
        </w:pBdr>
        <w:jc w:val="both"/>
        <w:rPr>
          <w:rFonts w:ascii="Arial" w:eastAsia="Arial" w:hAnsi="Arial" w:cs="Arial"/>
          <w:b/>
          <w:bCs/>
          <w:color w:val="000000"/>
          <w:sz w:val="22"/>
          <w:szCs w:val="22"/>
          <w:highlight w:val="white"/>
        </w:rPr>
      </w:pPr>
    </w:p>
    <w:p w14:paraId="62101700" w14:textId="77777777" w:rsidR="003F4480" w:rsidRDefault="00376F26">
      <w:pPr>
        <w:widowControl w:val="0"/>
        <w:jc w:val="center"/>
        <w:rPr>
          <w:rFonts w:ascii="Arial" w:eastAsia="Arial" w:hAnsi="Arial" w:cs="Arial"/>
          <w:b/>
          <w:bCs/>
          <w:sz w:val="22"/>
          <w:szCs w:val="22"/>
          <w:highlight w:val="white"/>
        </w:rPr>
      </w:pPr>
      <w:r>
        <w:rPr>
          <w:rFonts w:ascii="Arial" w:eastAsia="Arial" w:hAnsi="Arial" w:cs="Arial"/>
          <w:b/>
          <w:bCs/>
          <w:sz w:val="22"/>
          <w:szCs w:val="22"/>
          <w:highlight w:val="white"/>
        </w:rPr>
        <w:t>NOTIFÍQUESE Y CÚMPLASE.</w:t>
      </w:r>
    </w:p>
    <w:p w14:paraId="1E4F4CBE" w14:textId="77777777" w:rsidR="003F4480" w:rsidRDefault="003F4480">
      <w:pPr>
        <w:rPr>
          <w:rFonts w:ascii="Arial" w:eastAsia="Arial" w:hAnsi="Arial" w:cs="Arial"/>
          <w:b/>
          <w:bCs/>
          <w:sz w:val="22"/>
          <w:szCs w:val="22"/>
        </w:rPr>
      </w:pPr>
    </w:p>
    <w:p w14:paraId="633FE485" w14:textId="77777777" w:rsidR="003F4480" w:rsidRDefault="003F4480">
      <w:pPr>
        <w:jc w:val="center"/>
        <w:rPr>
          <w:rFonts w:ascii="Arial" w:eastAsia="Arial" w:hAnsi="Arial" w:cs="Arial"/>
          <w:b/>
          <w:bCs/>
          <w:sz w:val="22"/>
          <w:szCs w:val="22"/>
        </w:rPr>
      </w:pPr>
    </w:p>
    <w:p w14:paraId="252EB7CE" w14:textId="77777777" w:rsidR="003F4480" w:rsidRDefault="003F4480">
      <w:pPr>
        <w:rPr>
          <w:rFonts w:ascii="Arial" w:eastAsia="Arial" w:hAnsi="Arial" w:cs="Arial"/>
          <w:b/>
          <w:bCs/>
          <w:sz w:val="22"/>
          <w:szCs w:val="22"/>
        </w:rPr>
      </w:pPr>
    </w:p>
    <w:p w14:paraId="0C4E2C7C" w14:textId="77777777" w:rsidR="003F4480" w:rsidRDefault="003F4480">
      <w:pPr>
        <w:jc w:val="center"/>
        <w:rPr>
          <w:rFonts w:ascii="Arial" w:eastAsia="Arial" w:hAnsi="Arial" w:cs="Arial"/>
          <w:b/>
          <w:bCs/>
          <w:sz w:val="22"/>
          <w:szCs w:val="22"/>
        </w:rPr>
      </w:pPr>
    </w:p>
    <w:p w14:paraId="2E0D51F0" w14:textId="77777777" w:rsidR="003F4480" w:rsidRDefault="00376F26">
      <w:pPr>
        <w:jc w:val="center"/>
        <w:rPr>
          <w:rFonts w:ascii="Arial" w:eastAsia="Arial" w:hAnsi="Arial" w:cs="Arial"/>
          <w:b/>
          <w:bCs/>
          <w:sz w:val="22"/>
          <w:szCs w:val="22"/>
        </w:rPr>
      </w:pPr>
      <w:r>
        <w:rPr>
          <w:rFonts w:ascii="Arial" w:eastAsia="Arial" w:hAnsi="Arial" w:cs="Arial"/>
          <w:b/>
          <w:bCs/>
          <w:sz w:val="22"/>
          <w:szCs w:val="22"/>
        </w:rPr>
        <w:t>JAZMÍN ROCÍO OROZCO RODRÍGUEZ</w:t>
      </w:r>
    </w:p>
    <w:p w14:paraId="500D2334" w14:textId="77777777" w:rsidR="003F4480" w:rsidRDefault="00376F26">
      <w:pPr>
        <w:jc w:val="center"/>
        <w:rPr>
          <w:rFonts w:ascii="Arial" w:eastAsia="Arial" w:hAnsi="Arial" w:cs="Arial"/>
          <w:b/>
          <w:bCs/>
          <w:sz w:val="22"/>
          <w:szCs w:val="22"/>
        </w:rPr>
      </w:pPr>
      <w:r>
        <w:rPr>
          <w:rFonts w:ascii="Arial" w:eastAsia="Arial" w:hAnsi="Arial" w:cs="Arial"/>
          <w:b/>
          <w:bCs/>
          <w:sz w:val="22"/>
          <w:szCs w:val="22"/>
        </w:rPr>
        <w:t>Directora de Investigaciones y Control de Vivienda</w:t>
      </w:r>
    </w:p>
    <w:p w14:paraId="230C5284" w14:textId="77777777" w:rsidR="003F4480" w:rsidRDefault="003F4480">
      <w:pPr>
        <w:rPr>
          <w:rFonts w:ascii="Arial" w:eastAsia="Arial" w:hAnsi="Arial" w:cs="Arial"/>
          <w:sz w:val="22"/>
          <w:szCs w:val="22"/>
        </w:rPr>
      </w:pPr>
    </w:p>
    <w:p w14:paraId="2AC65684" w14:textId="77777777" w:rsidR="003F4480" w:rsidRDefault="00376F26">
      <w:pPr>
        <w:pBdr>
          <w:top w:val="nil"/>
          <w:left w:val="nil"/>
          <w:bottom w:val="nil"/>
          <w:right w:val="nil"/>
          <w:between w:val="nil"/>
        </w:pBdr>
        <w:rPr>
          <w:rFonts w:ascii="Arial" w:eastAsia="Arial" w:hAnsi="Arial" w:cs="Arial"/>
          <w:i/>
          <w:iCs/>
          <w:color w:val="000000"/>
          <w:sz w:val="16"/>
          <w:szCs w:val="16"/>
        </w:rPr>
      </w:pPr>
      <w:r>
        <w:rPr>
          <w:rFonts w:ascii="Arial" w:eastAsia="Arial" w:hAnsi="Arial" w:cs="Arial"/>
          <w:i/>
          <w:iCs/>
          <w:color w:val="000000"/>
          <w:sz w:val="16"/>
          <w:szCs w:val="16"/>
        </w:rPr>
        <w:t>Proyectó: Daniel Santiago Cristiano González- Abogado Contratista – DICV</w:t>
      </w:r>
    </w:p>
    <w:p w14:paraId="15F1C126" w14:textId="77777777" w:rsidR="003F4480" w:rsidRDefault="00376F26">
      <w:pPr>
        <w:pBdr>
          <w:top w:val="nil"/>
          <w:left w:val="nil"/>
          <w:bottom w:val="nil"/>
          <w:right w:val="nil"/>
          <w:between w:val="nil"/>
        </w:pBdr>
        <w:rPr>
          <w:rFonts w:ascii="Arial" w:eastAsia="Arial" w:hAnsi="Arial" w:cs="Arial"/>
          <w:i/>
          <w:iCs/>
          <w:color w:val="000000"/>
          <w:sz w:val="16"/>
          <w:szCs w:val="16"/>
        </w:rPr>
      </w:pPr>
      <w:r>
        <w:rPr>
          <w:rFonts w:ascii="Arial" w:eastAsia="Arial" w:hAnsi="Arial" w:cs="Arial"/>
          <w:i/>
          <w:iCs/>
          <w:color w:val="000000"/>
          <w:sz w:val="16"/>
          <w:szCs w:val="16"/>
        </w:rPr>
        <w:t xml:space="preserve">Revisó: Mauricio Hernández Beltrán – Abogado Contratista – DICV. </w:t>
      </w:r>
    </w:p>
    <w:p w14:paraId="768B954F" w14:textId="77777777" w:rsidR="003F4480" w:rsidRDefault="003F4480">
      <w:pPr>
        <w:pBdr>
          <w:top w:val="nil"/>
          <w:left w:val="nil"/>
          <w:bottom w:val="nil"/>
          <w:right w:val="nil"/>
          <w:between w:val="nil"/>
        </w:pBdr>
        <w:rPr>
          <w:rFonts w:ascii="Arial" w:eastAsia="Arial" w:hAnsi="Arial" w:cs="Arial"/>
          <w:i/>
          <w:iCs/>
          <w:color w:val="EE0000"/>
          <w:sz w:val="16"/>
          <w:szCs w:val="16"/>
        </w:rPr>
      </w:pPr>
    </w:p>
    <w:sectPr w:rsidR="003F4480">
      <w:headerReference w:type="default" r:id="rId13"/>
      <w:footerReference w:type="default" r:id="rId14"/>
      <w:pgSz w:w="12240" w:h="15840"/>
      <w:pgMar w:top="1417" w:right="1701" w:bottom="1417" w:left="1701" w:header="708" w:footer="708"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048209C" w14:textId="77777777" w:rsidR="00376F26" w:rsidRDefault="00376F26">
      <w:r>
        <w:separator/>
      </w:r>
    </w:p>
  </w:endnote>
  <w:endnote w:type="continuationSeparator" w:id="0">
    <w:p w14:paraId="5CD98B48" w14:textId="77777777" w:rsidR="00376F26" w:rsidRDefault="00376F2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Play">
    <w:altName w:val="Calibri"/>
    <w:charset w:val="00"/>
    <w:family w:val="auto"/>
    <w:pitch w:val="default"/>
    <w:embedRegular r:id="rId1" w:fontKey="{A1CE2BBF-3186-4A9D-B633-6A5A48539975}"/>
  </w:font>
  <w:font w:name="Aptos Display">
    <w:charset w:val="00"/>
    <w:family w:val="swiss"/>
    <w:pitch w:val="variable"/>
    <w:sig w:usb0="20000287" w:usb1="00000003" w:usb2="00000000" w:usb3="00000000" w:csb0="0000019F" w:csb1="00000000"/>
    <w:embedRegular r:id="rId2" w:fontKey="{6D5895D7-D850-428B-AC3B-1342BE4F36FD}"/>
  </w:font>
  <w:font w:name="Aptos">
    <w:charset w:val="00"/>
    <w:family w:val="swiss"/>
    <w:pitch w:val="variable"/>
    <w:sig w:usb0="20000287" w:usb1="00000003" w:usb2="00000000" w:usb3="00000000" w:csb0="0000019F" w:csb1="00000000"/>
    <w:embedRegular r:id="rId3" w:fontKey="{BF8F5B02-225C-4B4A-A647-8297026B2562}"/>
  </w:font>
  <w:font w:name="Arial">
    <w:panose1 w:val="020B0604020202020204"/>
    <w:charset w:val="00"/>
    <w:family w:val="swiss"/>
    <w:pitch w:val="variable"/>
    <w:sig w:usb0="E0002EFF" w:usb1="C000785B" w:usb2="00000009" w:usb3="00000000" w:csb0="000001FF" w:csb1="00000000"/>
  </w:font>
  <w:font w:name="Roboto Mono">
    <w:charset w:val="00"/>
    <w:family w:val="modern"/>
    <w:pitch w:val="fixed"/>
    <w:sig w:usb0="E00002FF" w:usb1="1000205B" w:usb2="00000020" w:usb3="00000000" w:csb0="0000019F" w:csb1="00000000"/>
    <w:embedRegular r:id="rId4" w:fontKey="{62B691F3-D929-4AEF-991A-7E8EF2D69EE3}"/>
  </w:font>
  <w:font w:name="Calibri">
    <w:panose1 w:val="020F0502020204030204"/>
    <w:charset w:val="00"/>
    <w:family w:val="swiss"/>
    <w:pitch w:val="variable"/>
    <w:sig w:usb0="E4002EFF" w:usb1="C200247B" w:usb2="00000009" w:usb3="00000000" w:csb0="000001FF" w:csb1="00000000"/>
    <w:embedRegular r:id="rId5" w:fontKey="{CEBA4AAC-B1E9-4D7C-A2FB-79B5490E3D7E}"/>
    <w:embedBold r:id="rId6" w:fontKey="{7F2220C4-D7A9-4592-A31C-CAFD31532F91}"/>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4235980" w14:textId="77777777" w:rsidR="003F4480" w:rsidRDefault="00376F26">
    <w:pPr>
      <w:pBdr>
        <w:top w:val="nil"/>
        <w:left w:val="nil"/>
        <w:bottom w:val="nil"/>
        <w:right w:val="nil"/>
        <w:between w:val="nil"/>
      </w:pBdr>
      <w:tabs>
        <w:tab w:val="center" w:pos="4419"/>
        <w:tab w:val="right" w:pos="8838"/>
      </w:tabs>
      <w:rPr>
        <w:color w:val="000000"/>
        <w:sz w:val="16"/>
        <w:szCs w:val="16"/>
      </w:rPr>
    </w:pPr>
    <w:r>
      <w:rPr>
        <w:rFonts w:ascii="Arial" w:eastAsia="Arial" w:hAnsi="Arial" w:cs="Arial"/>
        <w:color w:val="000000"/>
        <w:sz w:val="16"/>
        <w:szCs w:val="16"/>
      </w:rPr>
      <w:t xml:space="preserve">Secretaría Distrital del Hábitat                             </w:t>
    </w:r>
    <w:r>
      <w:rPr>
        <w:noProof/>
      </w:rPr>
      <w:drawing>
        <wp:anchor distT="0" distB="0" distL="114300" distR="114300" simplePos="0" relativeHeight="251659264" behindDoc="0" locked="0" layoutInCell="1" hidden="0" allowOverlap="1" wp14:anchorId="42349172" wp14:editId="75BCA1CB">
          <wp:simplePos x="0" y="0"/>
          <wp:positionH relativeFrom="column">
            <wp:posOffset>2239010</wp:posOffset>
          </wp:positionH>
          <wp:positionV relativeFrom="paragraph">
            <wp:posOffset>74295</wp:posOffset>
          </wp:positionV>
          <wp:extent cx="2133600" cy="861695"/>
          <wp:effectExtent l="0" t="0" r="0" b="0"/>
          <wp:wrapSquare wrapText="bothSides" distT="0" distB="0" distL="114300" distR="114300"/>
          <wp:docPr id="1725787607" name="image1.png" descr="Imagen que contiene Texto&#10;&#10;El contenido generado por IA puede ser incorrecto."/>
          <wp:cNvGraphicFramePr/>
          <a:graphic xmlns:a="http://schemas.openxmlformats.org/drawingml/2006/main">
            <a:graphicData uri="http://schemas.openxmlformats.org/drawingml/2006/picture">
              <pic:pic xmlns:pic="http://schemas.openxmlformats.org/drawingml/2006/picture">
                <pic:nvPicPr>
                  <pic:cNvPr id="0" name="image1.png" descr="Imagen que contiene Texto&#10;&#10;El contenido generado por IA puede ser incorrecto."/>
                  <pic:cNvPicPr preferRelativeResize="0"/>
                </pic:nvPicPr>
                <pic:blipFill>
                  <a:blip r:embed="rId1"/>
                  <a:srcRect/>
                  <a:stretch>
                    <a:fillRect/>
                  </a:stretch>
                </pic:blipFill>
                <pic:spPr>
                  <a:xfrm>
                    <a:off x="0" y="0"/>
                    <a:ext cx="2133600" cy="861695"/>
                  </a:xfrm>
                  <a:prstGeom prst="rect">
                    <a:avLst/>
                  </a:prstGeom>
                  <a:ln/>
                </pic:spPr>
              </pic:pic>
            </a:graphicData>
          </a:graphic>
        </wp:anchor>
      </w:drawing>
    </w:r>
  </w:p>
  <w:p w14:paraId="6B2D6A39" w14:textId="77777777" w:rsidR="003F4480" w:rsidRDefault="00376F26">
    <w:pPr>
      <w:pBdr>
        <w:top w:val="nil"/>
        <w:left w:val="nil"/>
        <w:bottom w:val="nil"/>
        <w:right w:val="nil"/>
        <w:between w:val="nil"/>
      </w:pBdr>
      <w:tabs>
        <w:tab w:val="center" w:pos="4419"/>
        <w:tab w:val="right" w:pos="8838"/>
      </w:tabs>
      <w:rPr>
        <w:color w:val="000000"/>
      </w:rPr>
    </w:pPr>
    <w:r>
      <w:rPr>
        <w:color w:val="000000"/>
      </w:rPr>
      <w:t xml:space="preserve">Página </w:t>
    </w:r>
    <w:r>
      <w:rPr>
        <w:b/>
        <w:bCs/>
        <w:color w:val="000000"/>
      </w:rPr>
      <w:fldChar w:fldCharType="begin"/>
    </w:r>
    <w:r>
      <w:rPr>
        <w:b/>
        <w:bCs/>
        <w:color w:val="000000"/>
      </w:rPr>
      <w:instrText>PAGE</w:instrText>
    </w:r>
    <w:r>
      <w:rPr>
        <w:b/>
        <w:bCs/>
        <w:color w:val="000000"/>
      </w:rPr>
      <w:fldChar w:fldCharType="separate"/>
    </w:r>
    <w:r w:rsidR="00A52FEB">
      <w:rPr>
        <w:b/>
        <w:bCs/>
        <w:noProof/>
        <w:color w:val="000000"/>
      </w:rPr>
      <w:t>1</w:t>
    </w:r>
    <w:r>
      <w:rPr>
        <w:b/>
        <w:bCs/>
        <w:color w:val="000000"/>
      </w:rPr>
      <w:fldChar w:fldCharType="end"/>
    </w:r>
    <w:r>
      <w:rPr>
        <w:color w:val="000000"/>
      </w:rPr>
      <w:t xml:space="preserve"> de </w:t>
    </w:r>
    <w:r>
      <w:rPr>
        <w:b/>
        <w:bCs/>
        <w:color w:val="000000"/>
      </w:rPr>
      <w:fldChar w:fldCharType="begin"/>
    </w:r>
    <w:r>
      <w:rPr>
        <w:b/>
        <w:bCs/>
        <w:color w:val="000000"/>
      </w:rPr>
      <w:instrText>NUMPAGES</w:instrText>
    </w:r>
    <w:r>
      <w:rPr>
        <w:b/>
        <w:bCs/>
        <w:color w:val="000000"/>
      </w:rPr>
      <w:fldChar w:fldCharType="separate"/>
    </w:r>
    <w:r w:rsidR="00A52FEB">
      <w:rPr>
        <w:b/>
        <w:bCs/>
        <w:noProof/>
        <w:color w:val="000000"/>
      </w:rPr>
      <w:t>2</w:t>
    </w:r>
    <w:r>
      <w:rPr>
        <w:b/>
        <w:bCs/>
        <w:color w:val="000000"/>
      </w:rPr>
      <w:fldChar w:fldCharType="end"/>
    </w:r>
  </w:p>
  <w:p w14:paraId="48510E08" w14:textId="77777777" w:rsidR="003F4480" w:rsidRDefault="00376F26">
    <w:pPr>
      <w:pBdr>
        <w:top w:val="nil"/>
        <w:left w:val="nil"/>
        <w:bottom w:val="nil"/>
        <w:right w:val="nil"/>
        <w:between w:val="nil"/>
      </w:pBdr>
      <w:tabs>
        <w:tab w:val="center" w:pos="4419"/>
        <w:tab w:val="right" w:pos="8838"/>
      </w:tabs>
      <w:rPr>
        <w:rFonts w:ascii="Arial" w:eastAsia="Arial" w:hAnsi="Arial" w:cs="Arial"/>
        <w:b/>
        <w:bCs/>
        <w:color w:val="000000"/>
        <w:sz w:val="14"/>
        <w:szCs w:val="14"/>
      </w:rPr>
    </w:pPr>
    <w:r>
      <w:rPr>
        <w:rFonts w:ascii="Arial" w:eastAsia="Arial" w:hAnsi="Arial" w:cs="Arial"/>
        <w:color w:val="000000"/>
        <w:sz w:val="16"/>
        <w:szCs w:val="16"/>
      </w:rPr>
      <w:t xml:space="preserve">Servicio al ciudadano: Carrera 13 No. 52-13       </w:t>
    </w:r>
  </w:p>
  <w:p w14:paraId="68943686" w14:textId="77777777" w:rsidR="003F4480" w:rsidRDefault="00376F26">
    <w:pPr>
      <w:pBdr>
        <w:top w:val="nil"/>
        <w:left w:val="nil"/>
        <w:bottom w:val="nil"/>
        <w:right w:val="nil"/>
        <w:between w:val="nil"/>
      </w:pBdr>
      <w:tabs>
        <w:tab w:val="center" w:pos="4419"/>
        <w:tab w:val="right" w:pos="8838"/>
      </w:tabs>
      <w:rPr>
        <w:rFonts w:ascii="Arial" w:eastAsia="Arial" w:hAnsi="Arial" w:cs="Arial"/>
        <w:color w:val="000000"/>
        <w:sz w:val="16"/>
        <w:szCs w:val="16"/>
      </w:rPr>
    </w:pPr>
    <w:r>
      <w:rPr>
        <w:rFonts w:ascii="Arial" w:eastAsia="Arial" w:hAnsi="Arial" w:cs="Arial"/>
        <w:color w:val="000000"/>
        <w:sz w:val="16"/>
        <w:szCs w:val="16"/>
      </w:rPr>
      <w:t xml:space="preserve">Sede Principal: Calle 52 No. 13-64                     </w:t>
    </w:r>
    <w:r>
      <w:rPr>
        <w:noProof/>
      </w:rPr>
      <mc:AlternateContent>
        <mc:Choice Requires="wps">
          <w:drawing>
            <wp:anchor distT="45720" distB="45720" distL="114300" distR="114300" simplePos="0" relativeHeight="251660288" behindDoc="0" locked="0" layoutInCell="1" hidden="0" allowOverlap="1" wp14:anchorId="6097F1B7" wp14:editId="4020D4D2">
              <wp:simplePos x="0" y="0"/>
              <wp:positionH relativeFrom="column">
                <wp:posOffset>5165729</wp:posOffset>
              </wp:positionH>
              <wp:positionV relativeFrom="paragraph">
                <wp:posOffset>63501</wp:posOffset>
              </wp:positionV>
              <wp:extent cx="1117599" cy="775334"/>
              <wp:effectExtent l="0" t="0" r="0" b="0"/>
              <wp:wrapSquare wrapText="bothSides" distT="45720" distB="45720" distL="114300" distR="114300"/>
              <wp:docPr id="1725787605" name="Rectángulo 1725787605"/>
              <wp:cNvGraphicFramePr/>
              <a:graphic xmlns:a="http://schemas.openxmlformats.org/drawingml/2006/main">
                <a:graphicData uri="http://schemas.microsoft.com/office/word/2010/wordprocessingShape">
                  <wps:wsp>
                    <wps:cNvSpPr/>
                    <wps:spPr>
                      <a:xfrm>
                        <a:off x="4825301" y="3430433"/>
                        <a:ext cx="1041399" cy="699134"/>
                      </a:xfrm>
                      <a:prstGeom prst="rect">
                        <a:avLst/>
                      </a:prstGeom>
                      <a:solidFill>
                        <a:srgbClr val="FFFFFF"/>
                      </a:solidFill>
                      <a:ln w="9525" cap="flat" cmpd="sng">
                        <a:solidFill>
                          <a:schemeClr val="lt1"/>
                        </a:solidFill>
                        <a:prstDash val="solid"/>
                        <a:miter lim="800000"/>
                        <a:headEnd type="none" w="sm" len="sm"/>
                        <a:tailEnd type="none" w="sm" len="sm"/>
                      </a:ln>
                    </wps:spPr>
                    <wps:txbx>
                      <w:txbxContent>
                        <w:p w14:paraId="72A90A0C" w14:textId="77777777" w:rsidR="003F4480" w:rsidRDefault="00376F26">
                          <w:pPr>
                            <w:jc w:val="center"/>
                            <w:textDirection w:val="btLr"/>
                          </w:pPr>
                          <w:r>
                            <w:rPr>
                              <w:rFonts w:ascii="Arial" w:eastAsia="Arial" w:hAnsi="Arial" w:cs="Arial"/>
                              <w:color w:val="000000"/>
                              <w:sz w:val="14"/>
                            </w:rPr>
                            <w:t>PG02-PL03 V2</w:t>
                          </w:r>
                        </w:p>
                      </w:txbxContent>
                    </wps:txbx>
                    <wps:bodyPr spcFirstLastPara="1" wrap="square" lIns="91425" tIns="45700" rIns="91425" bIns="45700" anchor="t" anchorCtr="0">
                      <a:noAutofit/>
                    </wps:bodyPr>
                  </wps:wsp>
                </a:graphicData>
              </a:graphic>
            </wp:anchor>
          </w:drawing>
        </mc:Choice>
        <mc:Fallback>
          <w:pict>
            <v:rect w14:anchorId="6097F1B7" id="Rectángulo 1725787605" o:spid="_x0000_s1026" style="position:absolute;margin-left:406.75pt;margin-top:5pt;width:88pt;height:61.05pt;z-index:251660288;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" strokecolor="white [3201]">
              <v:stroke startarrowwidth="narrow" startarrowlength="short" endarrowwidth="narrow" endarrowlength="short"/>
              <v:textbox inset="2.53958mm,1.2694mm,2.53958mm,1.2694mm">
                <w:txbxContent>
                  <w:p w14:paraId="72A90A0C" w14:textId="77777777" w:rsidR="003F4480" w:rsidRDefault="00376F26">
                    <w:pPr>
                      <w:jc w:val="center"/>
                      <w:textDirection w:val="btLr"/>
                    </w:pPr>
                    <w:r>
                      <w:rPr>
                        <w:rFonts w:ascii="Arial" w:eastAsia="Arial" w:hAnsi="Arial" w:cs="Arial"/>
                        <w:color w:val="000000"/>
                        <w:sz w:val="14"/>
                      </w:rPr>
                      <w:t>PG02-PL03 V2</w:t>
                    </w:r>
                  </w:p>
                </w:txbxContent>
              </v:textbox>
              <w10:wrap type="square"/>
            </v:rect>
          </w:pict>
        </mc:Fallback>
      </mc:AlternateContent>
    </w:r>
  </w:p>
  <w:p w14:paraId="18FCA8EB" w14:textId="77777777" w:rsidR="003F4480" w:rsidRDefault="00376F26">
    <w:pPr>
      <w:pBdr>
        <w:top w:val="nil"/>
        <w:left w:val="nil"/>
        <w:bottom w:val="nil"/>
        <w:right w:val="nil"/>
        <w:between w:val="nil"/>
      </w:pBdr>
      <w:tabs>
        <w:tab w:val="center" w:pos="4419"/>
        <w:tab w:val="right" w:pos="8838"/>
      </w:tabs>
      <w:rPr>
        <w:rFonts w:ascii="Arial" w:eastAsia="Arial" w:hAnsi="Arial" w:cs="Arial"/>
        <w:color w:val="000000"/>
        <w:sz w:val="16"/>
        <w:szCs w:val="16"/>
      </w:rPr>
    </w:pPr>
    <w:r>
      <w:rPr>
        <w:rFonts w:ascii="Arial" w:eastAsia="Arial" w:hAnsi="Arial" w:cs="Arial"/>
        <w:color w:val="000000"/>
        <w:sz w:val="16"/>
        <w:szCs w:val="16"/>
      </w:rPr>
      <w:t>Teléfono: 601-3581600</w:t>
    </w:r>
  </w:p>
  <w:p w14:paraId="2FE90AFA" w14:textId="77777777" w:rsidR="003F4480" w:rsidRPr="007C3A4B" w:rsidRDefault="00376F26">
    <w:pPr>
      <w:pBdr>
        <w:top w:val="nil"/>
        <w:left w:val="nil"/>
        <w:bottom w:val="nil"/>
        <w:right w:val="nil"/>
        <w:between w:val="nil"/>
      </w:pBdr>
      <w:tabs>
        <w:tab w:val="center" w:pos="4419"/>
        <w:tab w:val="right" w:pos="8838"/>
      </w:tabs>
      <w:rPr>
        <w:rFonts w:ascii="Arial" w:eastAsia="Arial" w:hAnsi="Arial" w:cs="Arial"/>
        <w:color w:val="000000"/>
        <w:sz w:val="16"/>
        <w:szCs w:val="16"/>
        <w:lang w:val="pt-PT"/>
      </w:rPr>
    </w:pPr>
    <w:r w:rsidRPr="007C3A4B">
      <w:rPr>
        <w:rFonts w:ascii="Arial" w:eastAsia="Arial" w:hAnsi="Arial" w:cs="Arial"/>
        <w:color w:val="000000"/>
        <w:sz w:val="16"/>
        <w:szCs w:val="16"/>
        <w:lang w:val="pt-PT"/>
      </w:rPr>
      <w:t xml:space="preserve">Código Postal: 110231 </w:t>
    </w:r>
  </w:p>
  <w:p w14:paraId="1A56D6DD" w14:textId="77777777" w:rsidR="003F4480" w:rsidRPr="007C3A4B" w:rsidRDefault="003F4480">
    <w:pPr>
      <w:pBdr>
        <w:top w:val="nil"/>
        <w:left w:val="nil"/>
        <w:bottom w:val="nil"/>
        <w:right w:val="nil"/>
        <w:between w:val="nil"/>
      </w:pBdr>
      <w:tabs>
        <w:tab w:val="center" w:pos="4419"/>
        <w:tab w:val="right" w:pos="8838"/>
      </w:tabs>
      <w:rPr>
        <w:rFonts w:ascii="Arial" w:eastAsia="Arial" w:hAnsi="Arial" w:cs="Arial"/>
        <w:color w:val="000000"/>
        <w:sz w:val="16"/>
        <w:szCs w:val="16"/>
        <w:lang w:val="pt-PT"/>
      </w:rPr>
    </w:pPr>
    <w:hyperlink r:id="rId2">
      <w:r w:rsidRPr="007C3A4B">
        <w:rPr>
          <w:rFonts w:ascii="Arial" w:eastAsia="Arial" w:hAnsi="Arial" w:cs="Arial"/>
          <w:color w:val="0000FF"/>
          <w:sz w:val="16"/>
          <w:szCs w:val="16"/>
          <w:u w:val="single"/>
          <w:lang w:val="pt-PT"/>
        </w:rPr>
        <w:t>www.habitatbogota.gov.co</w:t>
      </w:r>
    </w:hyperlink>
    <w:r w:rsidRPr="007C3A4B">
      <w:rPr>
        <w:rFonts w:ascii="Arial" w:eastAsia="Arial" w:hAnsi="Arial" w:cs="Arial"/>
        <w:color w:val="000000"/>
        <w:sz w:val="16"/>
        <w:szCs w:val="16"/>
        <w:lang w:val="pt-PT"/>
      </w:rPr>
      <w:t xml:space="preserve">                 </w:t>
    </w:r>
  </w:p>
  <w:p w14:paraId="107D9F0D" w14:textId="77777777" w:rsidR="003F4480" w:rsidRPr="007C3A4B" w:rsidRDefault="003F4480">
    <w:pPr>
      <w:pBdr>
        <w:top w:val="nil"/>
        <w:left w:val="nil"/>
        <w:bottom w:val="nil"/>
        <w:right w:val="nil"/>
        <w:between w:val="nil"/>
      </w:pBdr>
      <w:tabs>
        <w:tab w:val="center" w:pos="4419"/>
        <w:tab w:val="right" w:pos="8838"/>
      </w:tabs>
      <w:rPr>
        <w:color w:val="000000"/>
        <w:lang w:val="pt-PT"/>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F19B1CF" w14:textId="77777777" w:rsidR="00376F26" w:rsidRDefault="00376F26">
      <w:r>
        <w:separator/>
      </w:r>
    </w:p>
  </w:footnote>
  <w:footnote w:type="continuationSeparator" w:id="0">
    <w:p w14:paraId="33DC54A9" w14:textId="77777777" w:rsidR="00376F26" w:rsidRDefault="00376F26">
      <w:r>
        <w:continuationSeparator/>
      </w:r>
    </w:p>
  </w:footnote>
  <w:footnote w:id="1">
    <w:p w14:paraId="46913FE0" w14:textId="77777777" w:rsidR="003F4480" w:rsidRDefault="00376F26">
      <w:pPr>
        <w:pBdr>
          <w:top w:val="nil"/>
          <w:left w:val="nil"/>
          <w:bottom w:val="nil"/>
          <w:right w:val="nil"/>
          <w:between w:val="nil"/>
        </w:pBdr>
        <w:jc w:val="both"/>
        <w:rPr>
          <w:rFonts w:ascii="Arial" w:eastAsia="Arial" w:hAnsi="Arial" w:cs="Arial"/>
          <w:color w:val="000000"/>
          <w:sz w:val="16"/>
          <w:szCs w:val="16"/>
        </w:rPr>
      </w:pPr>
      <w:r>
        <w:rPr>
          <w:vertAlign w:val="superscript"/>
        </w:rPr>
        <w:footnoteRef/>
      </w:r>
      <w:r>
        <w:rPr>
          <w:rFonts w:ascii="Arial" w:eastAsia="Arial" w:hAnsi="Arial" w:cs="Arial"/>
          <w:color w:val="000000"/>
          <w:sz w:val="16"/>
          <w:szCs w:val="16"/>
        </w:rPr>
        <w:t xml:space="preserve"> </w:t>
      </w:r>
      <w:r>
        <w:rPr>
          <w:rFonts w:ascii="Arial" w:eastAsia="Arial" w:hAnsi="Arial" w:cs="Arial"/>
          <w:color w:val="000000"/>
          <w:sz w:val="16"/>
          <w:szCs w:val="16"/>
          <w:highlight w:val="white"/>
        </w:rPr>
        <w:t xml:space="preserve">el Consejo de Estado - Sala de lo Contencioso Administrativo - Sección Primera, al evaluar la legalidad de la Directiva 001 del 11 de octubre de 2004 expedida por el entonces Subdirector de Control de Vivienda del Departamento Técnico Administrativo del Medio Ambiente de Bogotá D.C. (DAMA), se pronunció indicando que la actualización dineraria de las multas impuestas por este Despacho son totalmente ajustadas a Derecho, para una mayor ilustración se procede a transcribir unos apartes del fallo contenido en </w:t>
      </w:r>
      <w:r>
        <w:rPr>
          <w:rFonts w:ascii="Arial" w:eastAsia="Arial" w:hAnsi="Arial" w:cs="Arial"/>
          <w:color w:val="000000"/>
          <w:sz w:val="16"/>
          <w:szCs w:val="16"/>
          <w:highlight w:val="white"/>
        </w:rPr>
        <w:t>el expediente No. 2006-00986-01 del treinta (30) de mayo de dos mil trece (2013)</w:t>
      </w:r>
    </w:p>
  </w:footnote>
  <w:footnote w:id="2">
    <w:p w14:paraId="4D4C4812" w14:textId="77777777" w:rsidR="003F4480" w:rsidRDefault="00376F26">
      <w:pPr>
        <w:pBdr>
          <w:top w:val="nil"/>
          <w:left w:val="nil"/>
          <w:bottom w:val="nil"/>
          <w:right w:val="nil"/>
          <w:between w:val="nil"/>
        </w:pBdr>
        <w:jc w:val="both"/>
        <w:rPr>
          <w:rFonts w:ascii="Arial" w:eastAsia="Arial" w:hAnsi="Arial" w:cs="Arial"/>
          <w:color w:val="000000"/>
          <w:sz w:val="16"/>
          <w:szCs w:val="16"/>
        </w:rPr>
      </w:pPr>
      <w:r>
        <w:rPr>
          <w:vertAlign w:val="superscript"/>
        </w:rPr>
        <w:footnoteRef/>
      </w:r>
      <w:r>
        <w:rPr>
          <w:rFonts w:ascii="Arial" w:eastAsia="Arial" w:hAnsi="Arial" w:cs="Arial"/>
          <w:color w:val="000000"/>
          <w:sz w:val="16"/>
          <w:szCs w:val="16"/>
        </w:rPr>
        <w:t xml:space="preserve"> Consejo de Estado de Colombia, Sección Tercera, Subsección C,</w:t>
      </w:r>
      <w:r>
        <w:rPr>
          <w:rFonts w:ascii="Arial" w:eastAsia="Arial" w:hAnsi="Arial" w:cs="Arial"/>
          <w:b/>
          <w:bCs/>
          <w:color w:val="000000"/>
          <w:sz w:val="16"/>
          <w:szCs w:val="16"/>
        </w:rPr>
        <w:t xml:space="preserve"> </w:t>
      </w:r>
      <w:r>
        <w:rPr>
          <w:rFonts w:ascii="Arial" w:eastAsia="Arial" w:hAnsi="Arial" w:cs="Arial"/>
          <w:color w:val="000000"/>
          <w:sz w:val="16"/>
          <w:szCs w:val="16"/>
        </w:rPr>
        <w:t xml:space="preserve">05001-23-24-000-1996-00680-01(20738), C.P, Gil Botero, Enrique. </w:t>
      </w:r>
    </w:p>
    <w:p w14:paraId="0275B043" w14:textId="77777777" w:rsidR="003F4480" w:rsidRDefault="00376F26">
      <w:pPr>
        <w:pBdr>
          <w:top w:val="nil"/>
          <w:left w:val="nil"/>
          <w:bottom w:val="nil"/>
          <w:right w:val="nil"/>
          <w:between w:val="nil"/>
        </w:pBdr>
        <w:jc w:val="both"/>
        <w:rPr>
          <w:rFonts w:ascii="Arial" w:eastAsia="Arial" w:hAnsi="Arial" w:cs="Arial"/>
          <w:color w:val="000000"/>
          <w:sz w:val="16"/>
          <w:szCs w:val="16"/>
        </w:rPr>
      </w:pPr>
      <w:r>
        <w:rPr>
          <w:rFonts w:ascii="Arial" w:eastAsia="Arial" w:hAnsi="Arial" w:cs="Arial"/>
          <w:color w:val="000000"/>
          <w:sz w:val="16"/>
          <w:szCs w:val="16"/>
        </w:rPr>
        <w:t xml:space="preserve"> .  </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61E264" w14:textId="77777777" w:rsidR="003F4480" w:rsidRDefault="003F4480">
    <w:pPr>
      <w:rPr>
        <w:b/>
        <w:bCs/>
        <w:sz w:val="22"/>
        <w:szCs w:val="22"/>
      </w:rPr>
    </w:pPr>
    <w:bookmarkStart w:id="7" w:name="_heading=h.g0ck6mntm1z9" w:colFirst="0" w:colLast="0"/>
    <w:bookmarkEnd w:id="7"/>
  </w:p>
  <w:p w14:paraId="4436C7EE" w14:textId="77777777" w:rsidR="003F4480" w:rsidRDefault="003F4480">
    <w:pPr>
      <w:rPr>
        <w:b/>
        <w:bCs/>
        <w:sz w:val="22"/>
        <w:szCs w:val="22"/>
      </w:rPr>
    </w:pPr>
  </w:p>
  <w:p w14:paraId="04A0D8BF" w14:textId="77777777" w:rsidR="003F4480" w:rsidRDefault="003F4480">
    <w:pPr>
      <w:rPr>
        <w:b/>
        <w:bCs/>
        <w:sz w:val="22"/>
        <w:szCs w:val="22"/>
      </w:rPr>
    </w:pPr>
  </w:p>
  <w:p w14:paraId="29A7BE5A" w14:textId="77777777" w:rsidR="003F4480" w:rsidRDefault="00376F26">
    <w:pPr>
      <w:jc w:val="center"/>
      <w:rPr>
        <w:rFonts w:ascii="Arial" w:eastAsia="Arial" w:hAnsi="Arial" w:cs="Arial"/>
        <w:b/>
        <w:bCs/>
        <w:sz w:val="22"/>
        <w:szCs w:val="22"/>
      </w:rPr>
    </w:pPr>
    <w:r>
      <w:rPr>
        <w:rFonts w:ascii="Arial" w:eastAsia="Arial" w:hAnsi="Arial" w:cs="Arial"/>
        <w:b/>
        <w:bCs/>
        <w:sz w:val="22"/>
        <w:szCs w:val="22"/>
      </w:rPr>
      <w:t xml:space="preserve">RESOLUCIÓN No. DEL ____DE ____ </w:t>
    </w:r>
    <w:proofErr w:type="spellStart"/>
    <w:r>
      <w:rPr>
        <w:rFonts w:ascii="Arial" w:eastAsia="Arial" w:hAnsi="Arial" w:cs="Arial"/>
        <w:b/>
        <w:bCs/>
        <w:sz w:val="22"/>
        <w:szCs w:val="22"/>
      </w:rPr>
      <w:t>DE</w:t>
    </w:r>
    <w:proofErr w:type="spellEnd"/>
    <w:r>
      <w:rPr>
        <w:rFonts w:ascii="Arial" w:eastAsia="Arial" w:hAnsi="Arial" w:cs="Arial"/>
        <w:b/>
        <w:bCs/>
        <w:sz w:val="22"/>
        <w:szCs w:val="22"/>
      </w:rPr>
      <w:t xml:space="preserve"> 2026</w:t>
    </w:r>
  </w:p>
  <w:p w14:paraId="233E478E" w14:textId="77777777" w:rsidR="003F4480" w:rsidRDefault="00376F26">
    <w:pPr>
      <w:jc w:val="center"/>
      <w:rPr>
        <w:rFonts w:ascii="Arial" w:eastAsia="Arial" w:hAnsi="Arial" w:cs="Arial"/>
        <w:sz w:val="22"/>
        <w:szCs w:val="22"/>
      </w:rPr>
    </w:pPr>
    <w:r>
      <w:rPr>
        <w:rFonts w:ascii="Arial" w:eastAsia="Arial" w:hAnsi="Arial" w:cs="Arial"/>
        <w:sz w:val="22"/>
        <w:szCs w:val="22"/>
      </w:rPr>
      <w:t>“Por la cual se impone una multa por incumplimiento a una orden”</w:t>
    </w:r>
  </w:p>
  <w:p w14:paraId="274BE9A8" w14:textId="77777777" w:rsidR="003F4480" w:rsidRDefault="00376F26">
    <w:pPr>
      <w:rPr>
        <w:rFonts w:ascii="Calibri" w:eastAsia="Calibri" w:hAnsi="Calibri" w:cs="Calibri"/>
        <w:b/>
        <w:bCs/>
        <w:sz w:val="22"/>
        <w:szCs w:val="22"/>
      </w:rPr>
    </w:pPr>
    <w:r>
      <w:rPr>
        <w:rFonts w:ascii="Calibri" w:eastAsia="Calibri" w:hAnsi="Calibri" w:cs="Calibri"/>
        <w:noProof/>
        <w:sz w:val="22"/>
        <w:szCs w:val="22"/>
      </w:rPr>
      <w:drawing>
        <wp:anchor distT="0" distB="0" distL="114300" distR="114300" simplePos="0" relativeHeight="251658240" behindDoc="0" locked="0" layoutInCell="1" hidden="0" allowOverlap="1" wp14:anchorId="037A4BC7" wp14:editId="05B9C12D">
          <wp:simplePos x="0" y="0"/>
          <wp:positionH relativeFrom="margin">
            <wp:align>center</wp:align>
          </wp:positionH>
          <wp:positionV relativeFrom="page">
            <wp:posOffset>277495</wp:posOffset>
          </wp:positionV>
          <wp:extent cx="1333500" cy="469900"/>
          <wp:effectExtent l="0" t="0" r="0" b="0"/>
          <wp:wrapSquare wrapText="bothSides" distT="0" distB="0" distL="114300" distR="114300"/>
          <wp:docPr id="1725787606"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
                  <a:srcRect/>
                  <a:stretch>
                    <a:fillRect/>
                  </a:stretch>
                </pic:blipFill>
                <pic:spPr>
                  <a:xfrm>
                    <a:off x="0" y="0"/>
                    <a:ext cx="1333500" cy="469900"/>
                  </a:xfrm>
                  <a:prstGeom prst="rect">
                    <a:avLst/>
                  </a:prstGeom>
                  <a:ln/>
                </pic:spPr>
              </pic:pic>
            </a:graphicData>
          </a:graphic>
        </wp:anchor>
      </w:drawing>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F4480"/>
    <w:rsid w:val="000E6C67"/>
    <w:rsid w:val="00376F26"/>
    <w:rsid w:val="003F4480"/>
    <w:rsid w:val="00457A0E"/>
    <w:rsid w:val="0067731A"/>
    <w:rsid w:val="006D3182"/>
    <w:rsid w:val="007C3A4B"/>
    <w:rsid w:val="00A52FEB"/>
    <w:rsid w:val="00B85897"/>
    <w:rsid w:val="00C2204F"/>
    <w:rsid w:val="00D81162"/>
    <w:rsid w:val="00E749C3"/>
    <w:rsid w:val="00E94A3A"/>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2E71592"/>
  <w15:docId w15:val="{282E7149-3762-C04B-95C1-1E06B23D3F3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s-ES_tradnl" w:eastAsia="es-MX"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uiPriority w:val="9"/>
    <w:qFormat/>
    <w:pPr>
      <w:keepNext/>
      <w:keepLines/>
      <w:spacing w:before="360" w:after="80"/>
      <w:outlineLvl w:val="0"/>
    </w:pPr>
    <w:rPr>
      <w:rFonts w:ascii="Play" w:eastAsia="Play" w:hAnsi="Play" w:cs="Play"/>
      <w:color w:val="0F4761"/>
      <w:sz w:val="40"/>
      <w:szCs w:val="40"/>
    </w:rPr>
  </w:style>
  <w:style w:type="paragraph" w:styleId="Ttulo2">
    <w:name w:val="heading 2"/>
    <w:basedOn w:val="Normal"/>
    <w:next w:val="Normal"/>
    <w:uiPriority w:val="9"/>
    <w:unhideWhenUsed/>
    <w:qFormat/>
    <w:pPr>
      <w:keepNext/>
      <w:keepLines/>
      <w:spacing w:before="160" w:after="80"/>
      <w:outlineLvl w:val="1"/>
    </w:pPr>
    <w:rPr>
      <w:rFonts w:ascii="Play" w:eastAsia="Play" w:hAnsi="Play" w:cs="Play"/>
      <w:color w:val="0F4761"/>
      <w:sz w:val="32"/>
      <w:szCs w:val="32"/>
    </w:rPr>
  </w:style>
  <w:style w:type="paragraph" w:styleId="Ttulo3">
    <w:name w:val="heading 3"/>
    <w:basedOn w:val="Normal"/>
    <w:next w:val="Normal"/>
    <w:uiPriority w:val="9"/>
    <w:semiHidden/>
    <w:unhideWhenUsed/>
    <w:qFormat/>
    <w:pPr>
      <w:keepNext/>
      <w:keepLines/>
      <w:spacing w:before="160" w:after="80"/>
      <w:outlineLvl w:val="2"/>
    </w:pPr>
    <w:rPr>
      <w:color w:val="0F4761"/>
      <w:sz w:val="28"/>
      <w:szCs w:val="28"/>
    </w:rPr>
  </w:style>
  <w:style w:type="paragraph" w:styleId="Ttulo4">
    <w:name w:val="heading 4"/>
    <w:basedOn w:val="Normal"/>
    <w:next w:val="Normal"/>
    <w:uiPriority w:val="9"/>
    <w:semiHidden/>
    <w:unhideWhenUsed/>
    <w:qFormat/>
    <w:pPr>
      <w:keepNext/>
      <w:keepLines/>
      <w:spacing w:before="80" w:after="40"/>
      <w:outlineLvl w:val="3"/>
    </w:pPr>
    <w:rPr>
      <w:i/>
      <w:iCs/>
      <w:color w:val="0F4761"/>
    </w:rPr>
  </w:style>
  <w:style w:type="paragraph" w:styleId="Ttulo5">
    <w:name w:val="heading 5"/>
    <w:basedOn w:val="Normal"/>
    <w:next w:val="Normal"/>
    <w:uiPriority w:val="9"/>
    <w:semiHidden/>
    <w:unhideWhenUsed/>
    <w:qFormat/>
    <w:pPr>
      <w:keepNext/>
      <w:keepLines/>
      <w:spacing w:before="80" w:after="40"/>
      <w:outlineLvl w:val="4"/>
    </w:pPr>
    <w:rPr>
      <w:color w:val="0F4761"/>
    </w:rPr>
  </w:style>
  <w:style w:type="paragraph" w:styleId="Ttulo6">
    <w:name w:val="heading 6"/>
    <w:basedOn w:val="Normal"/>
    <w:next w:val="Normal"/>
    <w:uiPriority w:val="9"/>
    <w:semiHidden/>
    <w:unhideWhenUsed/>
    <w:qFormat/>
    <w:pPr>
      <w:keepNext/>
      <w:keepLines/>
      <w:spacing w:before="40"/>
      <w:outlineLvl w:val="5"/>
    </w:pPr>
    <w:rPr>
      <w:i/>
      <w:iCs/>
      <w:color w:val="595959"/>
    </w:rPr>
  </w:style>
  <w:style w:type="paragraph" w:styleId="Ttulo7">
    <w:name w:val="heading 7"/>
    <w:basedOn w:val="Normal"/>
    <w:next w:val="Normal"/>
    <w:link w:val="Ttulo7Car"/>
    <w:uiPriority w:val="9"/>
    <w:semiHidden/>
    <w:unhideWhenUsed/>
    <w:qFormat/>
    <w:rsid w:val="00E063AD"/>
    <w:pPr>
      <w:keepNext/>
      <w:keepLines/>
      <w:spacing w:before="40"/>
      <w:outlineLvl w:val="6"/>
    </w:pPr>
    <w:rPr>
      <w:rFonts w:eastAsiaTheme="majorEastAsia" w:cstheme="majorBidi"/>
      <w:color w:val="595959" w:themeColor="text1" w:themeTint="A6"/>
    </w:rPr>
  </w:style>
  <w:style w:type="paragraph" w:styleId="Ttulo8">
    <w:name w:val="heading 8"/>
    <w:basedOn w:val="Normal"/>
    <w:next w:val="Normal"/>
    <w:link w:val="Ttulo8Car"/>
    <w:uiPriority w:val="9"/>
    <w:semiHidden/>
    <w:unhideWhenUsed/>
    <w:qFormat/>
    <w:rsid w:val="00E063AD"/>
    <w:pPr>
      <w:keepNext/>
      <w:keepLines/>
      <w:outlineLvl w:val="7"/>
    </w:pPr>
    <w:rPr>
      <w:rFonts w:eastAsiaTheme="majorEastAsia" w:cstheme="majorBidi"/>
      <w:i/>
      <w:iCs/>
      <w:color w:val="272727" w:themeColor="text1" w:themeTint="D8"/>
    </w:rPr>
  </w:style>
  <w:style w:type="paragraph" w:styleId="Ttulo9">
    <w:name w:val="heading 9"/>
    <w:basedOn w:val="Normal"/>
    <w:next w:val="Normal"/>
    <w:link w:val="Ttulo9Car"/>
    <w:uiPriority w:val="9"/>
    <w:semiHidden/>
    <w:unhideWhenUsed/>
    <w:qFormat/>
    <w:rsid w:val="00E063AD"/>
    <w:pPr>
      <w:keepNext/>
      <w:keepLines/>
      <w:outlineLvl w:val="8"/>
    </w:pPr>
    <w:rPr>
      <w:rFonts w:eastAsiaTheme="majorEastAsia" w:cstheme="majorBidi"/>
      <w:color w:val="272727" w:themeColor="text1" w:themeTint="D8"/>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uiPriority w:val="10"/>
    <w:qFormat/>
    <w:pPr>
      <w:spacing w:after="80"/>
    </w:pPr>
    <w:rPr>
      <w:rFonts w:ascii="Play" w:eastAsia="Play" w:hAnsi="Play" w:cs="Play"/>
      <w:sz w:val="56"/>
      <w:szCs w:val="56"/>
    </w:rPr>
  </w:style>
  <w:style w:type="table" w:customStyle="1" w:styleId="TableNormal0">
    <w:name w:val="TableNormal"/>
    <w:tblPr>
      <w:tblCellMar>
        <w:top w:w="100" w:type="dxa"/>
        <w:left w:w="100" w:type="dxa"/>
        <w:bottom w:w="100" w:type="dxa"/>
        <w:right w:w="100" w:type="dxa"/>
      </w:tblCellMar>
    </w:tblPr>
  </w:style>
  <w:style w:type="table" w:customStyle="1" w:styleId="TableNormal1">
    <w:name w:val="TableNormal"/>
    <w:tblPr>
      <w:tblCellMar>
        <w:top w:w="100" w:type="dxa"/>
        <w:left w:w="100" w:type="dxa"/>
        <w:bottom w:w="100" w:type="dxa"/>
        <w:right w:w="100" w:type="dxa"/>
      </w:tblCellMar>
    </w:tblPr>
  </w:style>
  <w:style w:type="table" w:customStyle="1" w:styleId="TableNormal2">
    <w:name w:val="TableNormal"/>
    <w:tblPr>
      <w:tblCellMar>
        <w:top w:w="100" w:type="dxa"/>
        <w:left w:w="100" w:type="dxa"/>
        <w:bottom w:w="100" w:type="dxa"/>
        <w:right w:w="100" w:type="dxa"/>
      </w:tblCellMar>
    </w:tblPr>
  </w:style>
  <w:style w:type="table" w:customStyle="1" w:styleId="TableNormal3">
    <w:name w:val="TableNormal"/>
    <w:tblPr>
      <w:tblCellMar>
        <w:top w:w="100" w:type="dxa"/>
        <w:left w:w="100" w:type="dxa"/>
        <w:bottom w:w="100" w:type="dxa"/>
        <w:right w:w="100" w:type="dxa"/>
      </w:tblCellMar>
    </w:tblPr>
  </w:style>
  <w:style w:type="table" w:customStyle="1" w:styleId="TableNormal4">
    <w:name w:val="TableNormal"/>
    <w:tblPr>
      <w:tblCellMar>
        <w:top w:w="100" w:type="dxa"/>
        <w:left w:w="100" w:type="dxa"/>
        <w:bottom w:w="100" w:type="dxa"/>
        <w:right w:w="100" w:type="dxa"/>
      </w:tblCellMar>
    </w:tblPr>
  </w:style>
  <w:style w:type="table" w:customStyle="1" w:styleId="TableNormal5">
    <w:name w:val="TableNormal"/>
    <w:tblPr>
      <w:tblCellMar>
        <w:top w:w="100" w:type="dxa"/>
        <w:left w:w="100" w:type="dxa"/>
        <w:bottom w:w="100" w:type="dxa"/>
        <w:right w:w="100" w:type="dxa"/>
      </w:tblCellMar>
    </w:tblPr>
  </w:style>
  <w:style w:type="table" w:customStyle="1" w:styleId="TableNormal6">
    <w:name w:val="TableNormal"/>
    <w:tblPr>
      <w:tblCellMar>
        <w:top w:w="100" w:type="dxa"/>
        <w:left w:w="100" w:type="dxa"/>
        <w:bottom w:w="100" w:type="dxa"/>
        <w:right w:w="100" w:type="dxa"/>
      </w:tblCellMar>
    </w:tblPr>
  </w:style>
  <w:style w:type="character" w:customStyle="1" w:styleId="Ttulo1Car">
    <w:name w:val="Título 1 Car"/>
    <w:basedOn w:val="Fuentedeprrafopredeter"/>
    <w:rsid w:val="00E063AD"/>
    <w:rPr>
      <w:rFonts w:asciiTheme="majorHAnsi" w:eastAsiaTheme="majorEastAsia" w:hAnsiTheme="majorHAnsi" w:cstheme="majorBidi"/>
      <w:color w:val="0F4761" w:themeColor="accent1" w:themeShade="BF"/>
      <w:sz w:val="40"/>
      <w:szCs w:val="40"/>
    </w:rPr>
  </w:style>
  <w:style w:type="character" w:customStyle="1" w:styleId="Ttulo2Car">
    <w:name w:val="Título 2 Car"/>
    <w:basedOn w:val="Fuentedeprrafopredeter"/>
    <w:uiPriority w:val="9"/>
    <w:rsid w:val="00E063AD"/>
    <w:rPr>
      <w:rFonts w:asciiTheme="majorHAnsi" w:eastAsiaTheme="majorEastAsia" w:hAnsiTheme="majorHAnsi" w:cstheme="majorBidi"/>
      <w:color w:val="0F4761" w:themeColor="accent1" w:themeShade="BF"/>
      <w:sz w:val="32"/>
      <w:szCs w:val="32"/>
    </w:rPr>
  </w:style>
  <w:style w:type="character" w:customStyle="1" w:styleId="Ttulo3Car">
    <w:name w:val="Título 3 Car"/>
    <w:basedOn w:val="Fuentedeprrafopredeter"/>
    <w:uiPriority w:val="9"/>
    <w:semiHidden/>
    <w:rsid w:val="00E063AD"/>
    <w:rPr>
      <w:rFonts w:eastAsiaTheme="majorEastAsia" w:cstheme="majorBidi"/>
      <w:color w:val="0F4761" w:themeColor="accent1" w:themeShade="BF"/>
      <w:sz w:val="28"/>
      <w:szCs w:val="28"/>
    </w:rPr>
  </w:style>
  <w:style w:type="character" w:customStyle="1" w:styleId="Ttulo4Car">
    <w:name w:val="Título 4 Car"/>
    <w:basedOn w:val="Fuentedeprrafopredeter"/>
    <w:uiPriority w:val="9"/>
    <w:semiHidden/>
    <w:rsid w:val="00E063AD"/>
    <w:rPr>
      <w:rFonts w:eastAsiaTheme="majorEastAsia" w:cstheme="majorBidi"/>
      <w:i/>
      <w:iCs/>
      <w:color w:val="0F4761" w:themeColor="accent1" w:themeShade="BF"/>
    </w:rPr>
  </w:style>
  <w:style w:type="character" w:customStyle="1" w:styleId="Ttulo5Car">
    <w:name w:val="Título 5 Car"/>
    <w:basedOn w:val="Fuentedeprrafopredeter"/>
    <w:uiPriority w:val="9"/>
    <w:semiHidden/>
    <w:rsid w:val="00E063AD"/>
    <w:rPr>
      <w:rFonts w:eastAsiaTheme="majorEastAsia" w:cstheme="majorBidi"/>
      <w:color w:val="0F4761" w:themeColor="accent1" w:themeShade="BF"/>
    </w:rPr>
  </w:style>
  <w:style w:type="character" w:customStyle="1" w:styleId="Ttulo6Car">
    <w:name w:val="Título 6 Car"/>
    <w:basedOn w:val="Fuentedeprrafopredeter"/>
    <w:uiPriority w:val="9"/>
    <w:semiHidden/>
    <w:rsid w:val="00E063AD"/>
    <w:rPr>
      <w:rFonts w:eastAsiaTheme="majorEastAsia" w:cstheme="majorBidi"/>
      <w:i/>
      <w:iCs/>
      <w:color w:val="595959" w:themeColor="text1" w:themeTint="A6"/>
    </w:rPr>
  </w:style>
  <w:style w:type="character" w:customStyle="1" w:styleId="Ttulo7Car">
    <w:name w:val="Título 7 Car"/>
    <w:basedOn w:val="Fuentedeprrafopredeter"/>
    <w:link w:val="Ttulo7"/>
    <w:uiPriority w:val="9"/>
    <w:semiHidden/>
    <w:rsid w:val="00E063AD"/>
    <w:rPr>
      <w:rFonts w:eastAsiaTheme="majorEastAsia" w:cstheme="majorBidi"/>
      <w:color w:val="595959" w:themeColor="text1" w:themeTint="A6"/>
    </w:rPr>
  </w:style>
  <w:style w:type="character" w:customStyle="1" w:styleId="Ttulo8Car">
    <w:name w:val="Título 8 Car"/>
    <w:basedOn w:val="Fuentedeprrafopredeter"/>
    <w:link w:val="Ttulo8"/>
    <w:uiPriority w:val="9"/>
    <w:semiHidden/>
    <w:rsid w:val="00E063AD"/>
    <w:rPr>
      <w:rFonts w:eastAsiaTheme="majorEastAsia" w:cstheme="majorBidi"/>
      <w:i/>
      <w:iCs/>
      <w:color w:val="272727" w:themeColor="text1" w:themeTint="D8"/>
    </w:rPr>
  </w:style>
  <w:style w:type="character" w:customStyle="1" w:styleId="Ttulo9Car">
    <w:name w:val="Título 9 Car"/>
    <w:basedOn w:val="Fuentedeprrafopredeter"/>
    <w:link w:val="Ttulo9"/>
    <w:uiPriority w:val="9"/>
    <w:semiHidden/>
    <w:rsid w:val="00E063AD"/>
    <w:rPr>
      <w:rFonts w:eastAsiaTheme="majorEastAsia" w:cstheme="majorBidi"/>
      <w:color w:val="272727" w:themeColor="text1" w:themeTint="D8"/>
    </w:rPr>
  </w:style>
  <w:style w:type="character" w:customStyle="1" w:styleId="TtuloCar">
    <w:name w:val="Título Car"/>
    <w:basedOn w:val="Fuentedeprrafopredeter"/>
    <w:uiPriority w:val="10"/>
    <w:rsid w:val="00E063AD"/>
    <w:rPr>
      <w:rFonts w:asciiTheme="majorHAnsi" w:eastAsiaTheme="majorEastAsia" w:hAnsiTheme="majorHAnsi" w:cstheme="majorBidi"/>
      <w:spacing w:val="-10"/>
      <w:kern w:val="28"/>
      <w:sz w:val="56"/>
      <w:szCs w:val="56"/>
    </w:rPr>
  </w:style>
  <w:style w:type="character" w:customStyle="1" w:styleId="SubttuloCar">
    <w:name w:val="Subtítulo Car"/>
    <w:basedOn w:val="Fuentedeprrafopredeter"/>
    <w:uiPriority w:val="11"/>
    <w:rsid w:val="00E063AD"/>
    <w:rPr>
      <w:rFonts w:eastAsiaTheme="majorEastAsia" w:cstheme="majorBidi"/>
      <w:color w:val="595959" w:themeColor="text1" w:themeTint="A6"/>
      <w:spacing w:val="15"/>
      <w:sz w:val="28"/>
      <w:szCs w:val="28"/>
    </w:rPr>
  </w:style>
  <w:style w:type="paragraph" w:styleId="Cita">
    <w:name w:val="Quote"/>
    <w:basedOn w:val="Normal"/>
    <w:next w:val="Normal"/>
    <w:link w:val="CitaCar"/>
    <w:uiPriority w:val="29"/>
    <w:qFormat/>
    <w:rsid w:val="00E063AD"/>
    <w:pPr>
      <w:spacing w:before="160"/>
      <w:jc w:val="center"/>
    </w:pPr>
    <w:rPr>
      <w:i/>
      <w:iCs/>
      <w:color w:val="404040" w:themeColor="text1" w:themeTint="BF"/>
    </w:rPr>
  </w:style>
  <w:style w:type="character" w:customStyle="1" w:styleId="CitaCar">
    <w:name w:val="Cita Car"/>
    <w:basedOn w:val="Fuentedeprrafopredeter"/>
    <w:link w:val="Cita"/>
    <w:uiPriority w:val="29"/>
    <w:rsid w:val="00E063AD"/>
    <w:rPr>
      <w:i/>
      <w:iCs/>
      <w:color w:val="404040" w:themeColor="text1" w:themeTint="BF"/>
    </w:rPr>
  </w:style>
  <w:style w:type="paragraph" w:styleId="Prrafodelista">
    <w:name w:val="List Paragraph"/>
    <w:aliases w:val="HOJA,Bolita,Párrafo de lista4,BOLADEF,Párrafo de lista3,Párrafo de lista21,BOLA,Nivel 1 OS,Colorful List Accent 1,Colorful List - Accent 11,NORMAL,Elabora,titulo 3,Outline AEH,P?rrafo de lista,P?rrafo de lista4,lp1,TOC style,Bullet OSM"/>
    <w:basedOn w:val="Normal"/>
    <w:link w:val="PrrafodelistaCar"/>
    <w:uiPriority w:val="34"/>
    <w:qFormat/>
    <w:rsid w:val="00E063AD"/>
    <w:pPr>
      <w:ind w:left="720"/>
      <w:contextualSpacing/>
    </w:pPr>
  </w:style>
  <w:style w:type="character" w:styleId="nfasisintenso">
    <w:name w:val="Intense Emphasis"/>
    <w:basedOn w:val="Fuentedeprrafopredeter"/>
    <w:uiPriority w:val="21"/>
    <w:qFormat/>
    <w:rsid w:val="00E063AD"/>
    <w:rPr>
      <w:i/>
      <w:iCs/>
      <w:color w:val="0F4761" w:themeColor="accent1" w:themeShade="BF"/>
    </w:rPr>
  </w:style>
  <w:style w:type="paragraph" w:styleId="Citadestacada">
    <w:name w:val="Intense Quote"/>
    <w:basedOn w:val="Normal"/>
    <w:next w:val="Normal"/>
    <w:link w:val="CitadestacadaCar"/>
    <w:uiPriority w:val="30"/>
    <w:qFormat/>
    <w:rsid w:val="00E063AD"/>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CitadestacadaCar">
    <w:name w:val="Cita destacada Car"/>
    <w:basedOn w:val="Fuentedeprrafopredeter"/>
    <w:link w:val="Citadestacada"/>
    <w:uiPriority w:val="30"/>
    <w:rsid w:val="00E063AD"/>
    <w:rPr>
      <w:i/>
      <w:iCs/>
      <w:color w:val="0F4761" w:themeColor="accent1" w:themeShade="BF"/>
    </w:rPr>
  </w:style>
  <w:style w:type="character" w:styleId="Referenciaintensa">
    <w:name w:val="Intense Reference"/>
    <w:basedOn w:val="Fuentedeprrafopredeter"/>
    <w:uiPriority w:val="32"/>
    <w:qFormat/>
    <w:rsid w:val="00E063AD"/>
    <w:rPr>
      <w:b/>
      <w:bCs/>
      <w:smallCaps/>
      <w:color w:val="0F4761" w:themeColor="accent1" w:themeShade="BF"/>
      <w:spacing w:val="5"/>
    </w:rPr>
  </w:style>
  <w:style w:type="paragraph" w:styleId="Encabezado">
    <w:name w:val="header"/>
    <w:aliases w:val=" Car,Car,articulo"/>
    <w:basedOn w:val="Normal"/>
    <w:link w:val="EncabezadoCar"/>
    <w:uiPriority w:val="99"/>
    <w:unhideWhenUsed/>
    <w:rsid w:val="00E063AD"/>
    <w:pPr>
      <w:tabs>
        <w:tab w:val="center" w:pos="4419"/>
        <w:tab w:val="right" w:pos="8838"/>
      </w:tabs>
    </w:pPr>
  </w:style>
  <w:style w:type="character" w:customStyle="1" w:styleId="EncabezadoCar">
    <w:name w:val="Encabezado Car"/>
    <w:aliases w:val=" Car Car,Car Car,articulo Car"/>
    <w:basedOn w:val="Fuentedeprrafopredeter"/>
    <w:link w:val="Encabezado"/>
    <w:uiPriority w:val="99"/>
    <w:rsid w:val="00E063AD"/>
  </w:style>
  <w:style w:type="paragraph" w:styleId="Piedepgina">
    <w:name w:val="footer"/>
    <w:basedOn w:val="Normal"/>
    <w:link w:val="PiedepginaCar"/>
    <w:unhideWhenUsed/>
    <w:rsid w:val="00E063AD"/>
    <w:pPr>
      <w:tabs>
        <w:tab w:val="center" w:pos="4419"/>
        <w:tab w:val="right" w:pos="8838"/>
      </w:tabs>
    </w:pPr>
  </w:style>
  <w:style w:type="character" w:customStyle="1" w:styleId="PiedepginaCar">
    <w:name w:val="Pie de página Car"/>
    <w:basedOn w:val="Fuentedeprrafopredeter"/>
    <w:link w:val="Piedepgina"/>
    <w:rsid w:val="00E063AD"/>
  </w:style>
  <w:style w:type="character" w:styleId="Hipervnculo">
    <w:name w:val="Hyperlink"/>
    <w:basedOn w:val="Fuentedeprrafopredeter"/>
    <w:rsid w:val="00E063AD"/>
    <w:rPr>
      <w:color w:val="0000FF"/>
      <w:u w:val="single"/>
    </w:rPr>
  </w:style>
  <w:style w:type="character" w:styleId="Nmerodepgina">
    <w:name w:val="page number"/>
    <w:basedOn w:val="Fuentedeprrafopredeter"/>
    <w:uiPriority w:val="99"/>
    <w:semiHidden/>
    <w:unhideWhenUsed/>
    <w:rsid w:val="00E063AD"/>
  </w:style>
  <w:style w:type="paragraph" w:styleId="NormalWeb">
    <w:name w:val="Normal (Web)"/>
    <w:basedOn w:val="Normal"/>
    <w:link w:val="NormalWebCar"/>
    <w:uiPriority w:val="99"/>
    <w:unhideWhenUsed/>
    <w:qFormat/>
    <w:rsid w:val="00E063AD"/>
    <w:pPr>
      <w:spacing w:before="100" w:beforeAutospacing="1" w:after="100" w:afterAutospacing="1"/>
    </w:pPr>
    <w:rPr>
      <w:sz w:val="24"/>
      <w:szCs w:val="24"/>
      <w:lang w:val="es-CO" w:eastAsia="es-CO"/>
    </w:rPr>
  </w:style>
  <w:style w:type="paragraph" w:styleId="Textonotapie">
    <w:name w:val="footnote text"/>
    <w:aliases w:val="Footnote Text Char Char Char Char Char,Footnote Text Char Char Char Char,Footnote reference,FA Fu,Footnote Text Char Char Char,texto de nota al pie,Texto nota pie Car Car Car,Texto nota pie Car Car,Footnote Text,FA Fu C,Footnote Text Char"/>
    <w:basedOn w:val="Normal"/>
    <w:link w:val="TextonotapieCar"/>
    <w:uiPriority w:val="99"/>
    <w:qFormat/>
    <w:rsid w:val="00E063AD"/>
  </w:style>
  <w:style w:type="character" w:customStyle="1" w:styleId="TextonotapieCar">
    <w:name w:val="Texto nota pie Car"/>
    <w:aliases w:val="Footnote Text Char Char Char Char Char Car,Footnote Text Char Char Char Char Car,Footnote reference Car,FA Fu Car,Footnote Text Char Char Char Car,texto de nota al pie Car,Texto nota pie Car Car Car Car,Texto nota pie Car Car Car1"/>
    <w:basedOn w:val="Fuentedeprrafopredeter"/>
    <w:link w:val="Textonotapie"/>
    <w:uiPriority w:val="99"/>
    <w:qFormat/>
    <w:rsid w:val="00E063AD"/>
    <w:rPr>
      <w:rFonts w:ascii="Times New Roman" w:eastAsia="Times New Roman" w:hAnsi="Times New Roman" w:cs="Times New Roman"/>
      <w:kern w:val="0"/>
      <w:sz w:val="20"/>
      <w:szCs w:val="20"/>
      <w:lang w:val="es-ES_tradnl" w:eastAsia="es-ES"/>
    </w:rPr>
  </w:style>
  <w:style w:type="character" w:styleId="Refdenotaalpie">
    <w:name w:val="footnote reference"/>
    <w:aliases w:val="Texto de nota al pie,Footnotes refss,Appel note de bas de page,Ref. de nota al pie 2,Ref,de nota al pie,FC,Appel note de bas de p,Pie de Página,referencia nota al pie,Nota de pie,Texto nota al pie,Texto de nota al pi,Footnote number"/>
    <w:basedOn w:val="Fuentedeprrafopredeter"/>
    <w:link w:val="Piedepagina"/>
    <w:uiPriority w:val="99"/>
    <w:qFormat/>
    <w:rsid w:val="00E063AD"/>
    <w:rPr>
      <w:vertAlign w:val="superscript"/>
    </w:rPr>
  </w:style>
  <w:style w:type="paragraph" w:customStyle="1" w:styleId="xmsonormal">
    <w:name w:val="x_msonormal"/>
    <w:basedOn w:val="Normal"/>
    <w:rsid w:val="00E063AD"/>
    <w:pPr>
      <w:spacing w:before="100" w:beforeAutospacing="1" w:after="100" w:afterAutospacing="1"/>
    </w:pPr>
    <w:rPr>
      <w:sz w:val="24"/>
      <w:szCs w:val="24"/>
      <w:lang w:val="es-CO" w:eastAsia="es-CO"/>
    </w:rPr>
  </w:style>
  <w:style w:type="paragraph" w:customStyle="1" w:styleId="paragraph">
    <w:name w:val="paragraph"/>
    <w:basedOn w:val="Normal"/>
    <w:rsid w:val="00E063AD"/>
    <w:pPr>
      <w:spacing w:before="100" w:beforeAutospacing="1" w:after="100" w:afterAutospacing="1"/>
    </w:pPr>
    <w:rPr>
      <w:sz w:val="24"/>
      <w:szCs w:val="24"/>
      <w:lang w:val="es-CO" w:eastAsia="es-CO"/>
    </w:rPr>
  </w:style>
  <w:style w:type="character" w:customStyle="1" w:styleId="normaltextrun">
    <w:name w:val="normaltextrun"/>
    <w:basedOn w:val="Fuentedeprrafopredeter"/>
    <w:rsid w:val="00E063AD"/>
  </w:style>
  <w:style w:type="paragraph" w:customStyle="1" w:styleId="xxxmsonormal">
    <w:name w:val="x_xxmsonormal"/>
    <w:basedOn w:val="Normal"/>
    <w:rsid w:val="00E063AD"/>
    <w:pPr>
      <w:spacing w:before="100" w:beforeAutospacing="1" w:after="100" w:afterAutospacing="1"/>
    </w:pPr>
    <w:rPr>
      <w:sz w:val="24"/>
      <w:szCs w:val="24"/>
      <w:lang w:val="es-CO" w:eastAsia="es-CO"/>
    </w:rPr>
  </w:style>
  <w:style w:type="character" w:customStyle="1" w:styleId="xcontentpasted0">
    <w:name w:val="x_contentpasted0"/>
    <w:basedOn w:val="Fuentedeprrafopredeter"/>
    <w:rsid w:val="00E063AD"/>
  </w:style>
  <w:style w:type="paragraph" w:customStyle="1" w:styleId="Piedepagina">
    <w:name w:val="Pie de pagina"/>
    <w:basedOn w:val="Normal"/>
    <w:link w:val="Refdenotaalpie"/>
    <w:uiPriority w:val="99"/>
    <w:rsid w:val="00E063AD"/>
    <w:pPr>
      <w:spacing w:after="160" w:line="240" w:lineRule="exact"/>
    </w:pPr>
    <w:rPr>
      <w:rFonts w:asciiTheme="minorHAnsi" w:eastAsiaTheme="minorHAnsi" w:hAnsiTheme="minorHAnsi" w:cstheme="minorBidi"/>
      <w:kern w:val="2"/>
      <w:sz w:val="24"/>
      <w:szCs w:val="24"/>
      <w:vertAlign w:val="superscript"/>
      <w:lang w:val="es-CO" w:eastAsia="en-US"/>
    </w:rPr>
  </w:style>
  <w:style w:type="character" w:customStyle="1" w:styleId="PrrafodelistaCar">
    <w:name w:val="Párrafo de lista Car"/>
    <w:aliases w:val="HOJA Car,Bolita Car,Párrafo de lista4 Car,BOLADEF Car,Párrafo de lista3 Car,Párrafo de lista21 Car,BOLA Car,Nivel 1 OS Car,Colorful List Accent 1 Car,Colorful List - Accent 11 Car,NORMAL Car,Elabora Car,titulo 3 Car,Outline AEH Car"/>
    <w:link w:val="Prrafodelista"/>
    <w:uiPriority w:val="34"/>
    <w:qFormat/>
    <w:locked/>
    <w:rsid w:val="00E063AD"/>
  </w:style>
  <w:style w:type="character" w:customStyle="1" w:styleId="NormalWebCar">
    <w:name w:val="Normal (Web) Car"/>
    <w:link w:val="NormalWeb"/>
    <w:uiPriority w:val="99"/>
    <w:locked/>
    <w:rsid w:val="00E063AD"/>
    <w:rPr>
      <w:rFonts w:ascii="Times New Roman" w:eastAsia="Times New Roman" w:hAnsi="Times New Roman" w:cs="Times New Roman"/>
      <w:kern w:val="0"/>
      <w:lang w:eastAsia="es-CO"/>
    </w:rPr>
  </w:style>
  <w:style w:type="character" w:styleId="Mencinsinresolver">
    <w:name w:val="Unresolved Mention"/>
    <w:basedOn w:val="Fuentedeprrafopredeter"/>
    <w:uiPriority w:val="99"/>
    <w:semiHidden/>
    <w:unhideWhenUsed/>
    <w:rsid w:val="00115268"/>
    <w:rPr>
      <w:color w:val="605E5C"/>
      <w:shd w:val="clear" w:color="auto" w:fill="E1DFDD"/>
    </w:rPr>
  </w:style>
  <w:style w:type="character" w:styleId="Refdecomentario">
    <w:name w:val="annotation reference"/>
    <w:basedOn w:val="Fuentedeprrafopredeter"/>
    <w:uiPriority w:val="99"/>
    <w:semiHidden/>
    <w:unhideWhenUsed/>
    <w:rsid w:val="00DB6D45"/>
    <w:rPr>
      <w:sz w:val="16"/>
      <w:szCs w:val="16"/>
    </w:rPr>
  </w:style>
  <w:style w:type="paragraph" w:styleId="Textocomentario">
    <w:name w:val="annotation text"/>
    <w:basedOn w:val="Normal"/>
    <w:link w:val="TextocomentarioCar"/>
    <w:uiPriority w:val="99"/>
    <w:unhideWhenUsed/>
    <w:rsid w:val="00DB6D45"/>
  </w:style>
  <w:style w:type="character" w:customStyle="1" w:styleId="TextocomentarioCar">
    <w:name w:val="Texto comentario Car"/>
    <w:basedOn w:val="Fuentedeprrafopredeter"/>
    <w:link w:val="Textocomentario"/>
    <w:uiPriority w:val="99"/>
    <w:rsid w:val="00DB6D45"/>
    <w:rPr>
      <w:rFonts w:ascii="Times New Roman" w:eastAsia="Times New Roman" w:hAnsi="Times New Roman" w:cs="Times New Roman"/>
      <w:kern w:val="0"/>
      <w:sz w:val="20"/>
      <w:szCs w:val="20"/>
      <w:lang w:val="es-ES_tradnl" w:eastAsia="es-ES"/>
    </w:rPr>
  </w:style>
  <w:style w:type="paragraph" w:styleId="Asuntodelcomentario">
    <w:name w:val="annotation subject"/>
    <w:basedOn w:val="Textocomentario"/>
    <w:next w:val="Textocomentario"/>
    <w:link w:val="AsuntodelcomentarioCar"/>
    <w:uiPriority w:val="99"/>
    <w:semiHidden/>
    <w:unhideWhenUsed/>
    <w:rsid w:val="00DB6D45"/>
    <w:rPr>
      <w:b/>
      <w:bCs/>
    </w:rPr>
  </w:style>
  <w:style w:type="character" w:customStyle="1" w:styleId="AsuntodelcomentarioCar">
    <w:name w:val="Asunto del comentario Car"/>
    <w:basedOn w:val="TextocomentarioCar"/>
    <w:link w:val="Asuntodelcomentario"/>
    <w:uiPriority w:val="99"/>
    <w:semiHidden/>
    <w:rsid w:val="00DB6D45"/>
    <w:rPr>
      <w:rFonts w:ascii="Times New Roman" w:eastAsia="Times New Roman" w:hAnsi="Times New Roman" w:cs="Times New Roman"/>
      <w:b/>
      <w:bCs/>
      <w:kern w:val="0"/>
      <w:sz w:val="20"/>
      <w:szCs w:val="20"/>
      <w:lang w:val="es-ES_tradnl" w:eastAsia="es-ES"/>
    </w:rPr>
  </w:style>
  <w:style w:type="paragraph" w:styleId="Subttulo">
    <w:name w:val="Subtitle"/>
    <w:basedOn w:val="Normal"/>
    <w:next w:val="Normal"/>
    <w:uiPriority w:val="11"/>
    <w:qFormat/>
    <w:rPr>
      <w:color w:val="595959"/>
      <w:sz w:val="28"/>
      <w:szCs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cobropersuasivo@habitatbogota.gov.co" TargetMode="External"/><Relationship Id="rId13" Type="http://schemas.openxmlformats.org/officeDocument/2006/relationships/header" Target="header1.xml"/><Relationship Id="rId3" Type="http://schemas.openxmlformats.org/officeDocument/2006/relationships/settings" Target="settings.xml"/><Relationship Id="rId7" Type="http://schemas.openxmlformats.org/officeDocument/2006/relationships/hyperlink" Target="http://www.dane.gov.co/" TargetMode="External"/><Relationship Id="rId12" Type="http://schemas.openxmlformats.org/officeDocument/2006/relationships/hyperlink" Target="mailto:cranco@coninsaramonh.com" TargetMode="External"/><Relationship Id="rId2" Type="http://schemas.openxmlformats.org/officeDocument/2006/relationships/styles" Target="styles.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hyperlink" Target="mailto:cranco@coninsaramonh.com" TargetMode="External"/><Relationship Id="rId5" Type="http://schemas.openxmlformats.org/officeDocument/2006/relationships/footnotes" Target="footnotes.xml"/><Relationship Id="rId15" Type="http://schemas.openxmlformats.org/officeDocument/2006/relationships/fontTable" Target="fontTable.xml"/><Relationship Id="rId10" Type="http://schemas.openxmlformats.org/officeDocument/2006/relationships/hyperlink" Target="mailto:cranco@coninsaramonh.com" TargetMode="External"/><Relationship Id="rId4" Type="http://schemas.openxmlformats.org/officeDocument/2006/relationships/webSettings" Target="webSettings.xml"/><Relationship Id="rId9" Type="http://schemas.openxmlformats.org/officeDocument/2006/relationships/hyperlink" Target="mailto:ventanilladecorrespondencia@habitatbogota.gov.co" TargetMode="External"/><Relationship Id="rId14" Type="http://schemas.openxmlformats.org/officeDocument/2006/relationships/footer" Target="foot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2" Type="http://schemas.openxmlformats.org/officeDocument/2006/relationships/hyperlink" Target="http://www.habitatbogota.gov.co" TargetMode="External"/><Relationship Id="rId1" Type="http://schemas.openxmlformats.org/officeDocument/2006/relationships/image" Target="media/image2.png"/></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kwmUe3rDcqCvc5vTQwSPtpJZFCQ==">CgMxLjAyDmguNHFuZ2VzZTg1MHR4Mg5oLjYzdTl4em1rcXp2czIOaC50emlpYjhtanU5NDgyDmgudm1xNWpsc3lsY2poMg5oLjRtNHE2YjF0amd2ZzIOaC53bmdsbW0xa3h3bHIyDmgudGM2enNtaWxiYnplMgloLjF0M2g1c2YyDmguZzBjazZtbnRtMXo5OAByITFnb2dNMmw2ZXZVSGthUkRsRGE0blNHT1RaR2NZMWdSSw==</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11</Pages>
  <Words>4491</Words>
  <Characters>24703</Characters>
  <Application>Microsoft Office Word</Application>
  <DocSecurity>0</DocSecurity>
  <Lines>205</Lines>
  <Paragraphs>58</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29136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Catalina Suarez Hoyos</dc:creator>
  <cp:lastModifiedBy>Mauricio Hernandez Beltran</cp:lastModifiedBy>
  <cp:revision>2</cp:revision>
  <dcterms:created xsi:type="dcterms:W3CDTF">2026-04-07T15:58:00Z</dcterms:created>
  <dcterms:modified xsi:type="dcterms:W3CDTF">2026-04-07T15:58:00Z</dcterms:modified>
</cp:coreProperties>
</file>